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1CD6" w14:textId="77777777" w:rsidR="00E607B3" w:rsidRPr="008932DC" w:rsidRDefault="00E607B3" w:rsidP="00E607B3">
      <w:pPr>
        <w:rPr>
          <w:rFonts w:asciiTheme="minorHAnsi" w:eastAsia="Arial" w:hAnsiTheme="minorHAnsi" w:cstheme="minorHAnsi"/>
        </w:rPr>
      </w:pPr>
    </w:p>
    <w:p w14:paraId="45FC4C2E" w14:textId="77777777" w:rsidR="00E607B3" w:rsidRPr="00914045" w:rsidRDefault="00AF342C" w:rsidP="00E607B3">
      <w:pPr>
        <w:jc w:val="center"/>
        <w:rPr>
          <w:rFonts w:ascii="Calibri" w:eastAsia="Calibri" w:hAnsi="Calibri"/>
          <w:b/>
          <w:bCs/>
          <w:color w:val="3B3838" w:themeColor="background2" w:themeShade="40"/>
          <w:sz w:val="20"/>
          <w:szCs w:val="20"/>
          <w:lang w:eastAsia="es-MX"/>
        </w:rPr>
      </w:pPr>
      <w:r w:rsidRPr="00914045">
        <w:rPr>
          <w:rFonts w:ascii="Calibri" w:eastAsia="Calibri" w:hAnsi="Calibri"/>
          <w:b/>
          <w:bCs/>
          <w:color w:val="3B3838" w:themeColor="background2" w:themeShade="40"/>
          <w:sz w:val="20"/>
          <w:szCs w:val="20"/>
          <w:lang w:eastAsia="es-MX"/>
        </w:rPr>
        <w:t>FICHA TÉCNICA PARA LA DIFUSIÓN DE RESULTADOS</w:t>
      </w:r>
    </w:p>
    <w:p w14:paraId="7B036616" w14:textId="77777777" w:rsidR="00AF342C" w:rsidRPr="00AF342C" w:rsidRDefault="00AF342C" w:rsidP="00E607B3">
      <w:pPr>
        <w:jc w:val="center"/>
        <w:rPr>
          <w:rFonts w:asciiTheme="minorHAnsi" w:hAnsiTheme="minorHAnsi" w:cstheme="minorHAnsi"/>
          <w:b/>
          <w:bCs/>
          <w:lang w:val="es-ES"/>
        </w:rPr>
      </w:pPr>
    </w:p>
    <w:tbl>
      <w:tblPr>
        <w:tblStyle w:val="Tablanormal15"/>
        <w:tblW w:w="0" w:type="auto"/>
        <w:tblInd w:w="0" w:type="dxa"/>
        <w:tblLook w:val="04A0" w:firstRow="1" w:lastRow="0" w:firstColumn="1" w:lastColumn="0" w:noHBand="0" w:noVBand="1"/>
      </w:tblPr>
      <w:tblGrid>
        <w:gridCol w:w="3681"/>
        <w:gridCol w:w="5147"/>
      </w:tblGrid>
      <w:tr w:rsidR="00E607B3" w:rsidRPr="0003342C" w14:paraId="161B6795" w14:textId="77777777" w:rsidTr="00BD5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7050FA"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1. DESCRIPCIÓN DE LA EVALUACIÓN.</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DF71BF" w14:textId="77777777" w:rsidR="00E607B3" w:rsidRPr="0003342C" w:rsidRDefault="00E607B3" w:rsidP="00727561">
            <w:pPr>
              <w:spacing w:line="36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olor w:val="3B3838" w:themeColor="background2" w:themeShade="40"/>
                <w:sz w:val="20"/>
                <w:szCs w:val="20"/>
                <w:lang w:eastAsia="es-MX"/>
              </w:rPr>
            </w:pPr>
          </w:p>
        </w:tc>
      </w:tr>
      <w:tr w:rsidR="00E607B3" w:rsidRPr="0003342C" w14:paraId="5A7607CD" w14:textId="77777777" w:rsidTr="0072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6185A3" w14:textId="75CFA578" w:rsidR="00994307" w:rsidRPr="00994307" w:rsidRDefault="00E607B3" w:rsidP="00994307">
            <w:pPr>
              <w:spacing w:before="120" w:after="120"/>
              <w:contextualSpacing/>
              <w:jc w:val="both"/>
              <w:rPr>
                <w:rFonts w:ascii="Calibri" w:eastAsia="Calibri" w:hAnsi="Calibri"/>
                <w:b w:val="0"/>
                <w:bCs w:val="0"/>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 xml:space="preserve">Nombre de la evaluación: </w:t>
            </w:r>
            <w:r w:rsidR="00994307" w:rsidRPr="00994307">
              <w:rPr>
                <w:rFonts w:ascii="Calibri" w:eastAsia="Calibri" w:hAnsi="Calibri"/>
                <w:b w:val="0"/>
                <w:bCs w:val="0"/>
                <w:color w:val="3B3838" w:themeColor="background2" w:themeShade="40"/>
                <w:sz w:val="20"/>
                <w:szCs w:val="20"/>
                <w:lang w:eastAsia="es-MX"/>
              </w:rPr>
              <w:t xml:space="preserve">Fondo de Aportaciones para el Fortalecimiento de los Municipios y de las Demarcaciones Territoriales del Distrito Federal, en lo sucesivo FORTAMUN 2023, en el municipio de </w:t>
            </w:r>
            <w:r w:rsidR="004839C6" w:rsidRPr="00994307">
              <w:rPr>
                <w:rFonts w:ascii="Calibri" w:eastAsia="Calibri" w:hAnsi="Calibri"/>
                <w:b w:val="0"/>
                <w:bCs w:val="0"/>
                <w:color w:val="3B3838" w:themeColor="background2" w:themeShade="40"/>
                <w:sz w:val="20"/>
                <w:szCs w:val="20"/>
                <w:lang w:eastAsia="es-MX"/>
              </w:rPr>
              <w:t>Calkiní</w:t>
            </w:r>
            <w:r w:rsidR="00994307" w:rsidRPr="00994307">
              <w:rPr>
                <w:rFonts w:ascii="Calibri" w:eastAsia="Calibri" w:hAnsi="Calibri"/>
                <w:b w:val="0"/>
                <w:bCs w:val="0"/>
                <w:color w:val="3B3838" w:themeColor="background2" w:themeShade="40"/>
                <w:sz w:val="20"/>
                <w:szCs w:val="20"/>
                <w:lang w:eastAsia="es-MX"/>
              </w:rPr>
              <w:t>.</w:t>
            </w:r>
          </w:p>
          <w:p w14:paraId="1C509522" w14:textId="77777777" w:rsidR="00E607B3" w:rsidRPr="0003342C" w:rsidRDefault="00E607B3" w:rsidP="00727561">
            <w:pPr>
              <w:spacing w:line="276" w:lineRule="auto"/>
              <w:jc w:val="center"/>
              <w:rPr>
                <w:rFonts w:ascii="Calibri" w:eastAsia="Calibri" w:hAnsi="Calibri"/>
                <w:color w:val="3B3838" w:themeColor="background2" w:themeShade="40"/>
                <w:sz w:val="20"/>
                <w:szCs w:val="20"/>
                <w:lang w:eastAsia="es-MX"/>
              </w:rPr>
            </w:pPr>
          </w:p>
        </w:tc>
      </w:tr>
      <w:tr w:rsidR="00E607B3" w:rsidRPr="0003342C" w14:paraId="5574EBF7" w14:textId="77777777" w:rsidTr="00727561">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162420" w14:textId="77777777" w:rsidR="00E607B3" w:rsidRPr="0003342C" w:rsidRDefault="00E607B3" w:rsidP="00727561">
            <w:pPr>
              <w:spacing w:before="120" w:after="12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 xml:space="preserve">1.2. Fecha de inicio de la evaluación: </w:t>
            </w:r>
            <w:r w:rsidR="00BD51BA">
              <w:rPr>
                <w:rFonts w:ascii="Calibri" w:eastAsia="Calibri" w:hAnsi="Calibri"/>
                <w:color w:val="3B3838" w:themeColor="background2" w:themeShade="40"/>
                <w:sz w:val="20"/>
                <w:szCs w:val="20"/>
                <w:lang w:eastAsia="es-MX"/>
              </w:rPr>
              <w:t>2</w:t>
            </w:r>
            <w:r w:rsidRPr="0003342C">
              <w:rPr>
                <w:rFonts w:ascii="Calibri" w:eastAsia="Calibri" w:hAnsi="Calibri"/>
                <w:color w:val="3B3838" w:themeColor="background2" w:themeShade="40"/>
                <w:sz w:val="20"/>
                <w:szCs w:val="20"/>
                <w:lang w:eastAsia="es-MX"/>
              </w:rPr>
              <w:t>/202</w:t>
            </w:r>
            <w:r w:rsidR="00BD51BA">
              <w:rPr>
                <w:rFonts w:ascii="Calibri" w:eastAsia="Calibri" w:hAnsi="Calibri"/>
                <w:color w:val="3B3838" w:themeColor="background2" w:themeShade="40"/>
                <w:sz w:val="20"/>
                <w:szCs w:val="20"/>
                <w:lang w:eastAsia="es-MX"/>
              </w:rPr>
              <w:t>4</w:t>
            </w:r>
          </w:p>
        </w:tc>
      </w:tr>
      <w:tr w:rsidR="00E607B3" w:rsidRPr="0003342C" w14:paraId="2395B07D" w14:textId="77777777" w:rsidTr="0072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8D44D1" w14:textId="77777777" w:rsidR="00E607B3" w:rsidRPr="0003342C" w:rsidRDefault="00E607B3" w:rsidP="00727561">
            <w:pPr>
              <w:spacing w:before="120" w:after="12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 xml:space="preserve">1.3. Fecha de término de la evaluación: </w:t>
            </w:r>
            <w:r w:rsidR="00BD51BA">
              <w:rPr>
                <w:rFonts w:ascii="Calibri" w:eastAsia="Calibri" w:hAnsi="Calibri"/>
                <w:color w:val="3B3838" w:themeColor="background2" w:themeShade="40"/>
                <w:sz w:val="20"/>
                <w:szCs w:val="20"/>
                <w:lang w:eastAsia="es-MX"/>
              </w:rPr>
              <w:t>3/2024</w:t>
            </w:r>
          </w:p>
        </w:tc>
      </w:tr>
      <w:tr w:rsidR="00E607B3" w:rsidRPr="0003342C" w14:paraId="6461FC41" w14:textId="77777777" w:rsidTr="00727561">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A0657B" w14:textId="77777777" w:rsidR="00E607B3" w:rsidRPr="0003342C" w:rsidRDefault="00E607B3" w:rsidP="00727561">
            <w:pPr>
              <w:spacing w:before="120" w:after="12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1.4. Nombre de la persona responsable de darle seguimiento a la evaluación y nombre de la unidad administrativa a la que pertenece:</w:t>
            </w:r>
          </w:p>
        </w:tc>
      </w:tr>
      <w:tr w:rsidR="00994307" w:rsidRPr="0003342C" w14:paraId="438E5E4C" w14:textId="77777777" w:rsidTr="00994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174699" w14:textId="77777777" w:rsidR="00994307" w:rsidRPr="00172BCB" w:rsidRDefault="00994307" w:rsidP="00994307">
            <w:pPr>
              <w:spacing w:before="120" w:after="12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Nombre:</w:t>
            </w:r>
          </w:p>
          <w:p w14:paraId="7DFC0E28" w14:textId="77777777" w:rsidR="00994307" w:rsidRDefault="00994307" w:rsidP="00994307">
            <w:r w:rsidRPr="00914045">
              <w:rPr>
                <w:rFonts w:ascii="Calibri" w:eastAsia="Calibri" w:hAnsi="Calibri"/>
                <w:color w:val="3B3838" w:themeColor="background2" w:themeShade="40"/>
                <w:sz w:val="20"/>
                <w:szCs w:val="20"/>
                <w:lang w:eastAsia="es-MX"/>
              </w:rPr>
              <w:t>Profesor José Adalberto Canto Sosa,</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B805AC" w14:textId="77777777" w:rsidR="00994307" w:rsidRPr="0003342C" w:rsidRDefault="00994307" w:rsidP="00994307">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Unidad administrativa:</w:t>
            </w:r>
          </w:p>
          <w:p w14:paraId="33BE7C1D" w14:textId="77777777" w:rsidR="00994307" w:rsidRPr="00172BCB" w:rsidRDefault="00994307" w:rsidP="00994307">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r>
              <w:rPr>
                <w:rFonts w:ascii="Calibri" w:eastAsia="Calibri" w:hAnsi="Calibri"/>
                <w:color w:val="3B3838" w:themeColor="background2" w:themeShade="40"/>
                <w:sz w:val="20"/>
                <w:szCs w:val="20"/>
                <w:lang w:eastAsia="es-MX"/>
              </w:rPr>
              <w:t>Dirección de Planeación</w:t>
            </w:r>
          </w:p>
          <w:p w14:paraId="2DAC3C34" w14:textId="77777777" w:rsidR="00994307" w:rsidRDefault="00994307" w:rsidP="00994307">
            <w:pPr>
              <w:cnfStyle w:val="000000100000" w:firstRow="0" w:lastRow="0" w:firstColumn="0" w:lastColumn="0" w:oddVBand="0" w:evenVBand="0" w:oddHBand="1" w:evenHBand="0" w:firstRowFirstColumn="0" w:firstRowLastColumn="0" w:lastRowFirstColumn="0" w:lastRowLastColumn="0"/>
            </w:pPr>
          </w:p>
        </w:tc>
      </w:tr>
      <w:tr w:rsidR="00E607B3" w:rsidRPr="0003342C" w14:paraId="0AD95B38" w14:textId="77777777" w:rsidTr="00727561">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C4676B" w14:textId="77777777" w:rsidR="00E607B3" w:rsidRPr="00A62BB5" w:rsidRDefault="00E607B3" w:rsidP="00727561">
            <w:pPr>
              <w:spacing w:before="120" w:after="120"/>
              <w:rPr>
                <w:rFonts w:ascii="Calibri" w:eastAsia="Calibri" w:hAnsi="Calibri"/>
                <w:color w:val="3B3838" w:themeColor="background2" w:themeShade="40"/>
                <w:sz w:val="20"/>
                <w:szCs w:val="20"/>
              </w:rPr>
            </w:pPr>
            <w:r w:rsidRPr="0003342C">
              <w:rPr>
                <w:rFonts w:ascii="Calibri" w:eastAsia="Calibri" w:hAnsi="Calibri"/>
                <w:color w:val="3B3838" w:themeColor="background2" w:themeShade="40"/>
                <w:sz w:val="20"/>
                <w:szCs w:val="20"/>
              </w:rPr>
              <w:t>1.5. Objetivo general de la evaluación.</w:t>
            </w:r>
          </w:p>
          <w:p w14:paraId="54C05D98" w14:textId="77777777" w:rsidR="0007308A" w:rsidRPr="00994307" w:rsidRDefault="00994307" w:rsidP="0007308A">
            <w:pPr>
              <w:spacing w:before="120" w:after="120"/>
              <w:contextualSpacing/>
              <w:jc w:val="both"/>
              <w:rPr>
                <w:rFonts w:ascii="Calibri" w:eastAsia="Calibri" w:hAnsi="Calibri"/>
                <w:b w:val="0"/>
                <w:bCs w:val="0"/>
                <w:color w:val="3B3838" w:themeColor="background2" w:themeShade="40"/>
                <w:sz w:val="20"/>
                <w:szCs w:val="20"/>
              </w:rPr>
            </w:pPr>
            <w:r w:rsidRPr="00994307">
              <w:rPr>
                <w:rFonts w:ascii="Calibri" w:eastAsia="Calibri" w:hAnsi="Calibri"/>
                <w:b w:val="0"/>
                <w:bCs w:val="0"/>
                <w:color w:val="3B3838" w:themeColor="background2" w:themeShade="40"/>
                <w:sz w:val="20"/>
                <w:szCs w:val="20"/>
              </w:rPr>
              <w:t>Valorar el desempeño del Fondo de Aportaciones para el Fortalecimiento de los Municipios y de las Demarcaciones Territoriales del Distrito Federal (FORTAMUN-DF) aplicado a nivel municipal durante el ejercicio fiscal que se evalúa, y mediante este análisis sistemático, generar información útil para mejorar la gestión, resultados y rendición de cuentas de dichos recursos públicos federales</w:t>
            </w:r>
            <w:r w:rsidR="0007308A" w:rsidRPr="00994307">
              <w:rPr>
                <w:rFonts w:ascii="Calibri" w:eastAsia="Calibri" w:hAnsi="Calibri"/>
                <w:b w:val="0"/>
                <w:bCs w:val="0"/>
                <w:color w:val="3B3838" w:themeColor="background2" w:themeShade="40"/>
                <w:sz w:val="20"/>
                <w:szCs w:val="20"/>
              </w:rPr>
              <w:t>.</w:t>
            </w:r>
          </w:p>
          <w:p w14:paraId="72D3755F" w14:textId="77777777" w:rsidR="00E607B3" w:rsidRPr="0003342C" w:rsidRDefault="00E607B3" w:rsidP="00727561">
            <w:pPr>
              <w:spacing w:before="120" w:line="360" w:lineRule="auto"/>
              <w:jc w:val="both"/>
              <w:rPr>
                <w:rFonts w:ascii="Calibri" w:eastAsia="Calibri" w:hAnsi="Calibri"/>
                <w:b w:val="0"/>
                <w:bCs w:val="0"/>
                <w:color w:val="3B3838" w:themeColor="background2" w:themeShade="40"/>
                <w:sz w:val="20"/>
                <w:szCs w:val="20"/>
              </w:rPr>
            </w:pPr>
            <w:r w:rsidRPr="00A62BB5">
              <w:rPr>
                <w:rFonts w:ascii="Calibri" w:eastAsia="Calibri" w:hAnsi="Calibri"/>
                <w:b w:val="0"/>
                <w:bCs w:val="0"/>
                <w:color w:val="3B3838" w:themeColor="background2" w:themeShade="40"/>
                <w:sz w:val="20"/>
                <w:szCs w:val="20"/>
              </w:rPr>
              <w:t>.</w:t>
            </w:r>
          </w:p>
          <w:p w14:paraId="354A9F98" w14:textId="77777777" w:rsidR="00E607B3" w:rsidRPr="0003342C" w:rsidRDefault="00E607B3" w:rsidP="00727561">
            <w:pPr>
              <w:spacing w:before="120" w:after="120"/>
              <w:jc w:val="both"/>
              <w:rPr>
                <w:rFonts w:ascii="Calibri" w:eastAsia="Calibri" w:hAnsi="Calibri"/>
                <w:b w:val="0"/>
                <w:bCs w:val="0"/>
                <w:color w:val="3B3838" w:themeColor="background2" w:themeShade="40"/>
                <w:sz w:val="20"/>
                <w:szCs w:val="20"/>
              </w:rPr>
            </w:pPr>
          </w:p>
        </w:tc>
      </w:tr>
      <w:tr w:rsidR="00E607B3" w:rsidRPr="0003342C" w14:paraId="225CF693" w14:textId="77777777" w:rsidTr="0072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8D3462" w14:textId="77777777" w:rsidR="00E607B3" w:rsidRPr="0003342C" w:rsidRDefault="00E607B3" w:rsidP="00AF342C">
            <w:pPr>
              <w:spacing w:before="120" w:after="120"/>
              <w:contextualSpacing/>
              <w:rPr>
                <w:rFonts w:ascii="Calibri" w:eastAsia="Calibri" w:hAnsi="Calibri"/>
                <w:color w:val="3B3838" w:themeColor="background2" w:themeShade="40"/>
                <w:sz w:val="20"/>
                <w:szCs w:val="20"/>
              </w:rPr>
            </w:pPr>
            <w:r w:rsidRPr="0003342C">
              <w:rPr>
                <w:rFonts w:ascii="Calibri" w:eastAsia="Calibri" w:hAnsi="Calibri"/>
                <w:color w:val="3B3838" w:themeColor="background2" w:themeShade="40"/>
                <w:sz w:val="20"/>
                <w:szCs w:val="20"/>
              </w:rPr>
              <w:t>Objetivos específicos de la evaluación.</w:t>
            </w:r>
          </w:p>
          <w:p w14:paraId="771F608D" w14:textId="77777777" w:rsidR="00E607B3" w:rsidRPr="00A62BB5" w:rsidRDefault="00E607B3" w:rsidP="00727561">
            <w:pPr>
              <w:spacing w:before="120" w:after="120"/>
              <w:contextualSpacing/>
              <w:jc w:val="both"/>
              <w:rPr>
                <w:rFonts w:ascii="Calibri" w:eastAsia="Calibri" w:hAnsi="Calibri"/>
                <w:b w:val="0"/>
                <w:bCs w:val="0"/>
                <w:color w:val="3B3838" w:themeColor="background2" w:themeShade="40"/>
                <w:sz w:val="20"/>
                <w:szCs w:val="20"/>
              </w:rPr>
            </w:pPr>
          </w:p>
          <w:p w14:paraId="09C7EFF8" w14:textId="77777777" w:rsidR="00994307" w:rsidRPr="00994307" w:rsidRDefault="00994307" w:rsidP="001324B2">
            <w:pPr>
              <w:pStyle w:val="Prrafodelista"/>
              <w:numPr>
                <w:ilvl w:val="0"/>
                <w:numId w:val="5"/>
              </w:numPr>
              <w:spacing w:after="120" w:line="276" w:lineRule="auto"/>
              <w:jc w:val="both"/>
              <w:rPr>
                <w:rFonts w:ascii="Calibri" w:eastAsia="Calibri" w:hAnsi="Calibri"/>
                <w:b w:val="0"/>
                <w:bCs w:val="0"/>
                <w:color w:val="3B3838" w:themeColor="background2" w:themeShade="40"/>
                <w:sz w:val="20"/>
              </w:rPr>
            </w:pPr>
            <w:r w:rsidRPr="00994307">
              <w:rPr>
                <w:rFonts w:ascii="Calibri" w:eastAsia="Calibri" w:hAnsi="Calibri"/>
                <w:b w:val="0"/>
                <w:bCs w:val="0"/>
                <w:color w:val="3B3838" w:themeColor="background2" w:themeShade="40"/>
                <w:sz w:val="20"/>
              </w:rPr>
              <w:t>Examinar la pertinencia de la planeación estratégica de los recursos del FORTAMUN-DF realizada por el municipio, así como su contribución a la consecución de los objetivos del fondo.</w:t>
            </w:r>
          </w:p>
          <w:p w14:paraId="564DC28D" w14:textId="77777777" w:rsidR="00994307" w:rsidRPr="00994307" w:rsidRDefault="00994307" w:rsidP="001324B2">
            <w:pPr>
              <w:pStyle w:val="Prrafodelista"/>
              <w:numPr>
                <w:ilvl w:val="0"/>
                <w:numId w:val="5"/>
              </w:numPr>
              <w:spacing w:after="120" w:line="276" w:lineRule="auto"/>
              <w:jc w:val="both"/>
              <w:rPr>
                <w:rFonts w:ascii="Calibri" w:eastAsia="Calibri" w:hAnsi="Calibri"/>
                <w:b w:val="0"/>
                <w:bCs w:val="0"/>
                <w:color w:val="3B3838" w:themeColor="background2" w:themeShade="40"/>
                <w:sz w:val="20"/>
              </w:rPr>
            </w:pPr>
            <w:r w:rsidRPr="00994307">
              <w:rPr>
                <w:rFonts w:ascii="Calibri" w:eastAsia="Calibri" w:hAnsi="Calibri"/>
                <w:b w:val="0"/>
                <w:bCs w:val="0"/>
                <w:color w:val="3B3838" w:themeColor="background2" w:themeShade="40"/>
                <w:sz w:val="20"/>
              </w:rPr>
              <w:t>Analizar la orientación a resultados de los recursos del fondo en el ejercicio fiscal 2021, con base en la información del desempeño generada por el municipio.</w:t>
            </w:r>
          </w:p>
          <w:p w14:paraId="002D83AD" w14:textId="77777777" w:rsidR="00994307" w:rsidRPr="00994307" w:rsidRDefault="00994307" w:rsidP="001324B2">
            <w:pPr>
              <w:pStyle w:val="Prrafodelista"/>
              <w:numPr>
                <w:ilvl w:val="0"/>
                <w:numId w:val="5"/>
              </w:numPr>
              <w:spacing w:after="120" w:line="276" w:lineRule="auto"/>
              <w:jc w:val="both"/>
              <w:rPr>
                <w:rFonts w:ascii="Calibri" w:eastAsia="Calibri" w:hAnsi="Calibri"/>
                <w:b w:val="0"/>
                <w:bCs w:val="0"/>
                <w:color w:val="3B3838" w:themeColor="background2" w:themeShade="40"/>
                <w:sz w:val="20"/>
              </w:rPr>
            </w:pPr>
            <w:r w:rsidRPr="00994307">
              <w:rPr>
                <w:rFonts w:ascii="Calibri" w:eastAsia="Calibri" w:hAnsi="Calibri"/>
                <w:b w:val="0"/>
                <w:bCs w:val="0"/>
                <w:color w:val="3B3838" w:themeColor="background2" w:themeShade="40"/>
                <w:sz w:val="20"/>
              </w:rPr>
              <w:t>Examinar el cumplimiento de las disposiciones en materia de rendición de cuentas y transparencia aplicables al fondo, por parte del municipio.</w:t>
            </w:r>
          </w:p>
          <w:p w14:paraId="6D213F43" w14:textId="77777777" w:rsidR="00994307" w:rsidRPr="00994307" w:rsidRDefault="00994307" w:rsidP="001324B2">
            <w:pPr>
              <w:pStyle w:val="Prrafodelista"/>
              <w:numPr>
                <w:ilvl w:val="0"/>
                <w:numId w:val="5"/>
              </w:numPr>
              <w:spacing w:after="120" w:line="276" w:lineRule="auto"/>
              <w:jc w:val="both"/>
              <w:rPr>
                <w:rFonts w:ascii="Calibri" w:eastAsia="Calibri" w:hAnsi="Calibri"/>
                <w:b w:val="0"/>
                <w:bCs w:val="0"/>
                <w:color w:val="3B3838" w:themeColor="background2" w:themeShade="40"/>
                <w:sz w:val="20"/>
              </w:rPr>
            </w:pPr>
            <w:r w:rsidRPr="00994307">
              <w:rPr>
                <w:rFonts w:ascii="Calibri" w:eastAsia="Calibri" w:hAnsi="Calibri"/>
                <w:b w:val="0"/>
                <w:bCs w:val="0"/>
                <w:color w:val="3B3838" w:themeColor="background2" w:themeShade="40"/>
                <w:sz w:val="20"/>
              </w:rPr>
              <w:t>Valorar la calidad de la información que el municipio generó para dar seguimiento a los recursos del fondo, monitorear el desempeño y medir los resultados obtenidos al cierre del ejercicio.</w:t>
            </w:r>
          </w:p>
          <w:p w14:paraId="2F84EF1E" w14:textId="77777777" w:rsidR="00994307" w:rsidRPr="00994307" w:rsidRDefault="00994307" w:rsidP="001324B2">
            <w:pPr>
              <w:pStyle w:val="Prrafodelista"/>
              <w:numPr>
                <w:ilvl w:val="0"/>
                <w:numId w:val="5"/>
              </w:numPr>
              <w:spacing w:after="120" w:line="276" w:lineRule="auto"/>
              <w:jc w:val="both"/>
              <w:rPr>
                <w:rFonts w:ascii="Calibri" w:eastAsia="Calibri" w:hAnsi="Calibri"/>
                <w:b w:val="0"/>
                <w:bCs w:val="0"/>
                <w:color w:val="3B3838" w:themeColor="background2" w:themeShade="40"/>
                <w:sz w:val="20"/>
              </w:rPr>
            </w:pPr>
            <w:r w:rsidRPr="00994307">
              <w:rPr>
                <w:rFonts w:ascii="Calibri" w:eastAsia="Calibri" w:hAnsi="Calibri"/>
                <w:b w:val="0"/>
                <w:bCs w:val="0"/>
                <w:color w:val="3B3838" w:themeColor="background2" w:themeShade="40"/>
                <w:sz w:val="20"/>
              </w:rPr>
              <w:t>Analizar la cobertura, focalización y los resultados del programa respecto a la atención del problema para el que fue creado.</w:t>
            </w:r>
          </w:p>
          <w:p w14:paraId="19D62AD7" w14:textId="77777777" w:rsidR="00994307" w:rsidRPr="00994307" w:rsidRDefault="00994307" w:rsidP="001324B2">
            <w:pPr>
              <w:pStyle w:val="Prrafodelista"/>
              <w:numPr>
                <w:ilvl w:val="0"/>
                <w:numId w:val="5"/>
              </w:numPr>
              <w:spacing w:after="120" w:line="276" w:lineRule="auto"/>
              <w:jc w:val="both"/>
              <w:rPr>
                <w:rFonts w:ascii="Calibri" w:eastAsia="Calibri" w:hAnsi="Calibri"/>
                <w:b w:val="0"/>
                <w:bCs w:val="0"/>
                <w:color w:val="3B3838" w:themeColor="background2" w:themeShade="40"/>
                <w:sz w:val="20"/>
              </w:rPr>
            </w:pPr>
            <w:r w:rsidRPr="00994307">
              <w:rPr>
                <w:rFonts w:ascii="Calibri" w:eastAsia="Calibri" w:hAnsi="Calibri"/>
                <w:b w:val="0"/>
                <w:bCs w:val="0"/>
                <w:color w:val="3B3838" w:themeColor="background2" w:themeShade="40"/>
                <w:sz w:val="20"/>
              </w:rPr>
              <w:t>Identificar Aspectos Susceptibles de Mejora y generar recomendaciones que permitan en el corto y mediano plazo, mejorar el desempeño del fondo.</w:t>
            </w:r>
          </w:p>
          <w:p w14:paraId="483644E2" w14:textId="77777777" w:rsidR="00994307" w:rsidRPr="00994307" w:rsidRDefault="00994307" w:rsidP="001324B2">
            <w:pPr>
              <w:pStyle w:val="Prrafodelista"/>
              <w:numPr>
                <w:ilvl w:val="0"/>
                <w:numId w:val="5"/>
              </w:numPr>
              <w:spacing w:after="120" w:line="276" w:lineRule="auto"/>
              <w:jc w:val="both"/>
              <w:rPr>
                <w:rFonts w:ascii="Calibri" w:eastAsia="Calibri" w:hAnsi="Calibri"/>
                <w:b w:val="0"/>
                <w:bCs w:val="0"/>
                <w:color w:val="3B3838" w:themeColor="background2" w:themeShade="40"/>
                <w:sz w:val="20"/>
              </w:rPr>
            </w:pPr>
            <w:r w:rsidRPr="00994307">
              <w:rPr>
                <w:rFonts w:ascii="Calibri" w:eastAsia="Calibri" w:hAnsi="Calibri"/>
                <w:b w:val="0"/>
                <w:bCs w:val="0"/>
                <w:color w:val="3B3838" w:themeColor="background2" w:themeShade="40"/>
                <w:sz w:val="20"/>
              </w:rPr>
              <w:t>Identificar los hallazgos que puedan ser replicados en otros municipios dentro de un sistema de mejora continua.</w:t>
            </w:r>
          </w:p>
          <w:p w14:paraId="64FD7694" w14:textId="77777777" w:rsidR="00E607B3" w:rsidRPr="00A62BB5" w:rsidRDefault="00E607B3" w:rsidP="0007308A">
            <w:pPr>
              <w:pStyle w:val="Prrafodelista"/>
              <w:spacing w:before="120"/>
              <w:jc w:val="both"/>
              <w:rPr>
                <w:rFonts w:ascii="Calibri" w:eastAsia="Calibri" w:hAnsi="Calibri"/>
                <w:b w:val="0"/>
                <w:bCs w:val="0"/>
                <w:color w:val="3B3838" w:themeColor="background2" w:themeShade="40"/>
                <w:sz w:val="20"/>
                <w:lang w:val="es-MX" w:eastAsia="en-US"/>
              </w:rPr>
            </w:pPr>
          </w:p>
          <w:p w14:paraId="6ABAFBDB" w14:textId="77777777" w:rsidR="00E607B3" w:rsidRPr="0003342C" w:rsidRDefault="00E607B3" w:rsidP="00727561">
            <w:pPr>
              <w:spacing w:before="120" w:after="120"/>
              <w:contextualSpacing/>
              <w:jc w:val="both"/>
              <w:rPr>
                <w:rFonts w:ascii="Calibri" w:eastAsia="Calibri" w:hAnsi="Calibri"/>
                <w:b w:val="0"/>
                <w:bCs w:val="0"/>
                <w:color w:val="3B3838" w:themeColor="background2" w:themeShade="40"/>
                <w:sz w:val="20"/>
                <w:szCs w:val="20"/>
              </w:rPr>
            </w:pPr>
          </w:p>
        </w:tc>
      </w:tr>
      <w:tr w:rsidR="00E607B3" w:rsidRPr="0003342C" w14:paraId="2EC4FBD5" w14:textId="77777777" w:rsidTr="00BD51BA">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6C1C19" w14:textId="77777777" w:rsidR="00E607B3" w:rsidRPr="0003342C" w:rsidRDefault="00E607B3" w:rsidP="00727561">
            <w:pPr>
              <w:spacing w:before="120" w:after="12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1.7. Metodología utilizada en la evaluación.</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7EDBD9" w14:textId="77777777" w:rsidR="00E607B3" w:rsidRPr="0003342C" w:rsidRDefault="00E607B3" w:rsidP="00727561">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 xml:space="preserve">Las publicadas en los </w:t>
            </w:r>
            <w:proofErr w:type="spellStart"/>
            <w:r w:rsidRPr="0003342C">
              <w:rPr>
                <w:rFonts w:ascii="Calibri" w:eastAsia="Calibri" w:hAnsi="Calibri"/>
                <w:color w:val="3B3838" w:themeColor="background2" w:themeShade="40"/>
                <w:sz w:val="20"/>
                <w:szCs w:val="20"/>
                <w:lang w:eastAsia="es-MX"/>
              </w:rPr>
              <w:t>Tdr</w:t>
            </w:r>
            <w:proofErr w:type="spellEnd"/>
            <w:r w:rsidRPr="0003342C">
              <w:rPr>
                <w:rFonts w:ascii="Calibri" w:eastAsia="Calibri" w:hAnsi="Calibri"/>
                <w:color w:val="3B3838" w:themeColor="background2" w:themeShade="40"/>
                <w:sz w:val="20"/>
                <w:szCs w:val="20"/>
                <w:lang w:eastAsia="es-MX"/>
              </w:rPr>
              <w:t xml:space="preserve"> CONEVAL</w:t>
            </w:r>
          </w:p>
        </w:tc>
      </w:tr>
      <w:tr w:rsidR="0097323A" w:rsidRPr="0003342C" w14:paraId="0A9B4B4C" w14:textId="77777777" w:rsidTr="00832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FDF8B6" w14:textId="77777777" w:rsidR="0097323A" w:rsidRPr="0097323A" w:rsidRDefault="0097323A" w:rsidP="0097323A">
            <w:pPr>
              <w:pStyle w:val="cvgsua"/>
              <w:spacing w:line="240" w:lineRule="atLeast"/>
              <w:jc w:val="both"/>
              <w:rPr>
                <w:rFonts w:ascii="Calibri" w:eastAsia="Calibri" w:hAnsi="Calibri"/>
                <w:b w:val="0"/>
                <w:bCs w:val="0"/>
                <w:color w:val="3B3838" w:themeColor="background2" w:themeShade="40"/>
                <w:sz w:val="20"/>
                <w:szCs w:val="20"/>
                <w:lang w:val="es-ES_tradnl" w:eastAsia="es-ES"/>
              </w:rPr>
            </w:pPr>
            <w:r w:rsidRPr="0097323A">
              <w:rPr>
                <w:rFonts w:ascii="Calibri" w:eastAsia="Calibri" w:hAnsi="Calibri"/>
                <w:b w:val="0"/>
                <w:bCs w:val="0"/>
                <w:color w:val="3B3838" w:themeColor="background2" w:themeShade="40"/>
                <w:sz w:val="20"/>
                <w:szCs w:val="20"/>
                <w:lang w:val="es-ES_tradnl" w:eastAsia="es-ES"/>
              </w:rPr>
              <w:t>En primer lugar, se estableció un marco teórico sólido basado en los lineamientos nacionales para la evaluación de programas federales, específicamente aquellos establecidos por CONEVAL. Esto garantizó que la evaluación se alineara con los estándares nacionales y fuera comparable con otras evaluaciones similares.</w:t>
            </w:r>
          </w:p>
          <w:p w14:paraId="0B3B5242" w14:textId="77777777" w:rsidR="0097323A" w:rsidRPr="0097323A" w:rsidRDefault="0097323A" w:rsidP="0097323A">
            <w:pPr>
              <w:pStyle w:val="cvgsua"/>
              <w:spacing w:line="240" w:lineRule="atLeast"/>
              <w:jc w:val="both"/>
              <w:rPr>
                <w:rFonts w:ascii="Calibri" w:eastAsia="Calibri" w:hAnsi="Calibri"/>
                <w:b w:val="0"/>
                <w:bCs w:val="0"/>
                <w:color w:val="3B3838" w:themeColor="background2" w:themeShade="40"/>
                <w:sz w:val="20"/>
                <w:szCs w:val="20"/>
                <w:lang w:val="es-ES_tradnl" w:eastAsia="es-ES"/>
              </w:rPr>
            </w:pPr>
            <w:r w:rsidRPr="0097323A">
              <w:rPr>
                <w:rFonts w:ascii="Calibri" w:eastAsia="Calibri" w:hAnsi="Calibri"/>
                <w:b w:val="0"/>
                <w:bCs w:val="0"/>
                <w:color w:val="3B3838" w:themeColor="background2" w:themeShade="40"/>
                <w:sz w:val="20"/>
                <w:szCs w:val="20"/>
                <w:lang w:val="es-ES_tradnl" w:eastAsia="es-ES"/>
              </w:rPr>
              <w:lastRenderedPageBreak/>
              <w:t>Posteriormente, se aplicó un cuestionario detallado que abarcó seis ejes temáticos clave relacionados con el diseño(13), la planeación(9), Cobertura y focalización (3), Operación(17), Percepción de la población (1) y medición de resultados (8). Cada tema se desglosó en preguntas específicas, tanto 35 preguntas cerradas (binarias) y 16 preguntas abiertas, para obtener una visión integral del programa de estas preguntas. En los casos afirmativos de las preguntas binarias, se debe seleccionar uno de los cuatro niveles de respuesta definidos para cada pregunta. Las 16 preguntas restantes, que no son binarias y no requieren niveles de respuesta, deben ser respondidas mediante un análisis sustentado en evidencia documental, explicando claramente los argumentos empleados en dicho análisis.</w:t>
            </w:r>
          </w:p>
          <w:p w14:paraId="7DCF7647" w14:textId="77777777" w:rsidR="0097323A" w:rsidRPr="0097323A" w:rsidRDefault="0097323A" w:rsidP="0097323A">
            <w:pPr>
              <w:pStyle w:val="cvgsua"/>
              <w:spacing w:line="240" w:lineRule="atLeast"/>
              <w:jc w:val="both"/>
              <w:rPr>
                <w:rFonts w:ascii="Calibri" w:eastAsia="Calibri" w:hAnsi="Calibri"/>
                <w:b w:val="0"/>
                <w:bCs w:val="0"/>
                <w:color w:val="3B3838" w:themeColor="background2" w:themeShade="40"/>
                <w:sz w:val="20"/>
                <w:szCs w:val="20"/>
                <w:lang w:val="es-ES_tradnl" w:eastAsia="es-ES"/>
              </w:rPr>
            </w:pPr>
            <w:r w:rsidRPr="0097323A">
              <w:rPr>
                <w:rFonts w:ascii="Calibri" w:eastAsia="Calibri" w:hAnsi="Calibri"/>
                <w:b w:val="0"/>
                <w:bCs w:val="0"/>
                <w:color w:val="3B3838" w:themeColor="background2" w:themeShade="40"/>
                <w:sz w:val="20"/>
                <w:szCs w:val="20"/>
                <w:lang w:val="es-ES_tradnl" w:eastAsia="es-ES"/>
              </w:rPr>
              <w:t>Para recopilar la información necesaria, se llevó a cabo un proceso de revisión exhaustiva de la documentación del programa. Además, se realizaron entrevistas a funcionarios públicos involucrados en la implementación del FORTAMUN para obtener información complementaria y aclarar dudas. Paralelamente, se consultaron bases de datos públicas para corroborar la información y obtener datos adicionales.</w:t>
            </w:r>
          </w:p>
          <w:p w14:paraId="1AF98CDD" w14:textId="77777777" w:rsidR="0097323A" w:rsidRPr="0097323A" w:rsidRDefault="0097323A" w:rsidP="0097323A">
            <w:pPr>
              <w:pStyle w:val="cvgsua"/>
              <w:spacing w:line="240" w:lineRule="atLeast"/>
              <w:jc w:val="both"/>
              <w:rPr>
                <w:rFonts w:ascii="Calibri" w:eastAsia="Calibri" w:hAnsi="Calibri"/>
                <w:b w:val="0"/>
                <w:bCs w:val="0"/>
                <w:color w:val="3B3838" w:themeColor="background2" w:themeShade="40"/>
                <w:sz w:val="20"/>
                <w:szCs w:val="20"/>
                <w:lang w:val="es-ES_tradnl" w:eastAsia="es-ES"/>
              </w:rPr>
            </w:pPr>
            <w:r w:rsidRPr="0097323A">
              <w:rPr>
                <w:rFonts w:ascii="Calibri" w:eastAsia="Calibri" w:hAnsi="Calibri"/>
                <w:b w:val="0"/>
                <w:bCs w:val="0"/>
                <w:color w:val="3B3838" w:themeColor="background2" w:themeShade="40"/>
                <w:sz w:val="20"/>
                <w:szCs w:val="20"/>
                <w:lang w:val="es-ES_tradnl" w:eastAsia="es-ES"/>
              </w:rPr>
              <w:t>Una vez recopilados los datos, se realizó un análisis tanto cuantitativo como cualitativo. El análisis cuantitativo se centró en el análisis de las respuestas cerradas para determinar el grado de cumplimiento de los indicadores establecidos. El análisis cualitativo, por su parte, se enfocó en las respuestas abiertas para identificar fortalezas, debilidades y áreas de oportunidad.</w:t>
            </w:r>
          </w:p>
          <w:p w14:paraId="729DB28E" w14:textId="77777777" w:rsidR="0097323A" w:rsidRPr="0097323A" w:rsidRDefault="0097323A" w:rsidP="0097323A">
            <w:pPr>
              <w:pStyle w:val="cvgsua"/>
              <w:spacing w:line="240" w:lineRule="atLeast"/>
              <w:jc w:val="both"/>
              <w:rPr>
                <w:rFonts w:ascii="Calibri" w:eastAsia="Calibri" w:hAnsi="Calibri"/>
                <w:b w:val="0"/>
                <w:bCs w:val="0"/>
                <w:color w:val="3B3838" w:themeColor="background2" w:themeShade="40"/>
                <w:sz w:val="20"/>
                <w:szCs w:val="20"/>
                <w:lang w:val="es-ES_tradnl" w:eastAsia="es-ES"/>
              </w:rPr>
            </w:pPr>
            <w:r w:rsidRPr="0097323A">
              <w:rPr>
                <w:rFonts w:ascii="Calibri" w:eastAsia="Calibri" w:hAnsi="Calibri"/>
                <w:b w:val="0"/>
                <w:bCs w:val="0"/>
                <w:color w:val="3B3838" w:themeColor="background2" w:themeShade="40"/>
                <w:sz w:val="20"/>
                <w:szCs w:val="20"/>
                <w:lang w:val="es-ES_tradnl" w:eastAsia="es-ES"/>
              </w:rPr>
              <w:t>Finalmente, se elaboró un informe detallado que presentó los resultados de la evaluación de manera clara y concisa. El informe incluyó recomendaciones específicas para mejorar el desempeño del programa en el futuro.</w:t>
            </w:r>
          </w:p>
          <w:p w14:paraId="26D7DB3D" w14:textId="77777777" w:rsidR="0097323A" w:rsidRPr="0097323A" w:rsidRDefault="0097323A" w:rsidP="0097323A">
            <w:pPr>
              <w:pStyle w:val="cvgsua"/>
              <w:spacing w:line="240" w:lineRule="atLeast"/>
              <w:jc w:val="both"/>
              <w:rPr>
                <w:rFonts w:ascii="Calibri" w:eastAsia="Calibri" w:hAnsi="Calibri"/>
                <w:b w:val="0"/>
                <w:bCs w:val="0"/>
                <w:color w:val="3B3838" w:themeColor="background2" w:themeShade="40"/>
                <w:sz w:val="20"/>
                <w:szCs w:val="20"/>
                <w:lang w:val="es-ES_tradnl" w:eastAsia="es-ES"/>
              </w:rPr>
            </w:pPr>
            <w:r w:rsidRPr="0097323A">
              <w:rPr>
                <w:rFonts w:ascii="Calibri" w:eastAsia="Calibri" w:hAnsi="Calibri"/>
                <w:b w:val="0"/>
                <w:bCs w:val="0"/>
                <w:color w:val="3B3838" w:themeColor="background2" w:themeShade="40"/>
                <w:sz w:val="20"/>
                <w:szCs w:val="20"/>
                <w:lang w:val="es-ES_tradnl" w:eastAsia="es-ES"/>
              </w:rPr>
              <w:t>De los resultados obtenidos en la aplicación del cuestionario, se promedia con los resultados alcanzados en la aplicación financiera del fondo.</w:t>
            </w:r>
          </w:p>
          <w:p w14:paraId="42026B22" w14:textId="77777777" w:rsidR="0097323A" w:rsidRPr="0097323A" w:rsidRDefault="0097323A" w:rsidP="0097323A">
            <w:pPr>
              <w:pStyle w:val="cvgsua"/>
              <w:spacing w:line="240" w:lineRule="atLeast"/>
              <w:jc w:val="both"/>
              <w:rPr>
                <w:rFonts w:ascii="Calibri" w:eastAsia="Calibri" w:hAnsi="Calibri"/>
                <w:b w:val="0"/>
                <w:bCs w:val="0"/>
                <w:color w:val="3B3838" w:themeColor="background2" w:themeShade="40"/>
                <w:sz w:val="20"/>
                <w:szCs w:val="20"/>
                <w:lang w:val="es-ES_tradnl" w:eastAsia="es-ES"/>
              </w:rPr>
            </w:pPr>
            <w:r w:rsidRPr="0097323A">
              <w:rPr>
                <w:rFonts w:ascii="Calibri" w:eastAsia="Calibri" w:hAnsi="Calibri"/>
                <w:b w:val="0"/>
                <w:bCs w:val="0"/>
                <w:color w:val="3B3838" w:themeColor="background2" w:themeShade="40"/>
                <w:sz w:val="20"/>
                <w:szCs w:val="20"/>
                <w:lang w:val="es-ES_tradnl" w:eastAsia="es-ES"/>
              </w:rPr>
              <w:t>En resumen, la metodología empleada para evaluar el FORTAMUN en Calkiní se caracterizó por ser integral, rigurosa, participativa y orientada a resultados. Esta metodología permitió obtener una evaluación detallada y objetiva del programa, proporcionando información valiosa para la toma de decisiones y la mejora continua.</w:t>
            </w:r>
          </w:p>
          <w:p w14:paraId="71D4C520" w14:textId="77777777" w:rsidR="0097323A" w:rsidRPr="0097323A" w:rsidRDefault="0097323A" w:rsidP="0097323A">
            <w:pPr>
              <w:spacing w:before="120" w:after="120"/>
              <w:jc w:val="both"/>
              <w:rPr>
                <w:rFonts w:ascii="Calibri" w:eastAsia="Calibri" w:hAnsi="Calibri"/>
                <w:b w:val="0"/>
                <w:bCs w:val="0"/>
                <w:color w:val="3B3838" w:themeColor="background2" w:themeShade="40"/>
                <w:sz w:val="20"/>
                <w:szCs w:val="20"/>
                <w:lang w:val="es-ES_tradnl" w:eastAsia="es-ES"/>
              </w:rPr>
            </w:pPr>
          </w:p>
        </w:tc>
      </w:tr>
      <w:tr w:rsidR="00E607B3" w:rsidRPr="0003342C" w14:paraId="48FCC630" w14:textId="77777777" w:rsidTr="00BD51BA">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A46107" w14:textId="77777777" w:rsidR="00E607B3" w:rsidRPr="0003342C" w:rsidRDefault="00E607B3" w:rsidP="00727561">
            <w:pPr>
              <w:spacing w:before="120" w:after="12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lastRenderedPageBreak/>
              <w:t>Instrumentos de recolección de información.</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2B08C8" w14:textId="77777777" w:rsidR="00E607B3" w:rsidRPr="0003342C" w:rsidRDefault="00E607B3" w:rsidP="00727561">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olor w:val="3B3838" w:themeColor="background2" w:themeShade="40"/>
                <w:sz w:val="20"/>
                <w:szCs w:val="20"/>
                <w:lang w:eastAsia="es-MX"/>
              </w:rPr>
            </w:pPr>
            <w:r>
              <w:rPr>
                <w:rFonts w:ascii="Calibri" w:eastAsia="Calibri" w:hAnsi="Calibri"/>
                <w:color w:val="3B3838" w:themeColor="background2" w:themeShade="40"/>
                <w:sz w:val="20"/>
                <w:szCs w:val="20"/>
                <w:lang w:eastAsia="es-MX"/>
              </w:rPr>
              <w:t>CUESTIONARIO,  ENTREVISTA y ficha de  recolección de datos.</w:t>
            </w:r>
          </w:p>
        </w:tc>
      </w:tr>
      <w:tr w:rsidR="00E607B3" w:rsidRPr="0003342C" w14:paraId="100EBCD5" w14:textId="77777777" w:rsidTr="0072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BEEA4" w14:textId="77777777" w:rsidR="00E607B3" w:rsidRPr="0003342C" w:rsidRDefault="00E607B3" w:rsidP="00727561">
            <w:pPr>
              <w:spacing w:before="120" w:after="12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rPr>
              <w:t>Cuestionarios__ Entrevistas X_ Formatos__ Otros X_ Especifique: reuniones de trabajo con operadores del fondo y solicitud de información a las Unidades Responsables</w:t>
            </w:r>
          </w:p>
        </w:tc>
      </w:tr>
      <w:tr w:rsidR="00E607B3" w:rsidRPr="0003342C" w14:paraId="59624434" w14:textId="77777777" w:rsidTr="00727561">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6EF426" w14:textId="77777777" w:rsidR="00E607B3" w:rsidRPr="0003342C" w:rsidRDefault="00E607B3" w:rsidP="00727561">
            <w:pPr>
              <w:spacing w:before="120" w:after="120" w:line="276" w:lineRule="auto"/>
              <w:rPr>
                <w:rFonts w:ascii="Calibri" w:eastAsia="Calibri" w:hAnsi="Calibri"/>
                <w:b w:val="0"/>
                <w:bCs w:val="0"/>
                <w:color w:val="3B3838" w:themeColor="background2" w:themeShade="40"/>
                <w:sz w:val="20"/>
                <w:szCs w:val="20"/>
              </w:rPr>
            </w:pPr>
            <w:r w:rsidRPr="0003342C">
              <w:rPr>
                <w:rFonts w:ascii="Calibri" w:eastAsia="Calibri" w:hAnsi="Calibri"/>
                <w:b w:val="0"/>
                <w:bCs w:val="0"/>
                <w:color w:val="3B3838" w:themeColor="background2" w:themeShade="40"/>
                <w:sz w:val="20"/>
                <w:szCs w:val="20"/>
              </w:rPr>
              <w:t>Descripción y la técnica utilizados.</w:t>
            </w:r>
          </w:p>
          <w:p w14:paraId="5B991531" w14:textId="77777777" w:rsidR="003A1823" w:rsidRPr="003A1823" w:rsidRDefault="003A1823" w:rsidP="003A1823">
            <w:pPr>
              <w:spacing w:before="100" w:beforeAutospacing="1" w:after="100" w:afterAutospacing="1"/>
              <w:rPr>
                <w:rFonts w:ascii="Calibri" w:eastAsia="Calibri" w:hAnsi="Calibri"/>
                <w:b w:val="0"/>
                <w:bCs w:val="0"/>
                <w:color w:val="3B3838" w:themeColor="background2" w:themeShade="40"/>
                <w:sz w:val="20"/>
                <w:szCs w:val="20"/>
              </w:rPr>
            </w:pPr>
            <w:r w:rsidRPr="003A1823">
              <w:rPr>
                <w:rFonts w:ascii="Calibri" w:eastAsia="Calibri" w:hAnsi="Calibri"/>
                <w:b w:val="0"/>
                <w:bCs w:val="0"/>
                <w:color w:val="3B3838" w:themeColor="background2" w:themeShade="40"/>
                <w:sz w:val="20"/>
                <w:szCs w:val="20"/>
              </w:rPr>
              <w:t>Metodología de la Evaluación</w:t>
            </w:r>
          </w:p>
          <w:p w14:paraId="1ACEEC45" w14:textId="77777777" w:rsidR="00994307" w:rsidRPr="00994307" w:rsidRDefault="00994307" w:rsidP="00994307">
            <w:pPr>
              <w:spacing w:before="100" w:beforeAutospacing="1" w:after="100" w:afterAutospacing="1"/>
              <w:rPr>
                <w:rFonts w:ascii="Calibri" w:eastAsia="Calibri" w:hAnsi="Calibri"/>
                <w:b w:val="0"/>
                <w:bCs w:val="0"/>
                <w:color w:val="3B3838" w:themeColor="background2" w:themeShade="40"/>
                <w:sz w:val="20"/>
                <w:szCs w:val="20"/>
              </w:rPr>
            </w:pPr>
            <w:r w:rsidRPr="00994307">
              <w:rPr>
                <w:rFonts w:ascii="Calibri" w:eastAsia="Calibri" w:hAnsi="Calibri"/>
                <w:b w:val="0"/>
                <w:bCs w:val="0"/>
                <w:color w:val="3B3838" w:themeColor="background2" w:themeShade="40"/>
                <w:sz w:val="20"/>
                <w:szCs w:val="20"/>
              </w:rPr>
              <w:t xml:space="preserve">La evaluación del </w:t>
            </w:r>
            <w:proofErr w:type="spellStart"/>
            <w:r w:rsidRPr="00994307">
              <w:rPr>
                <w:rFonts w:ascii="Calibri" w:eastAsia="Calibri" w:hAnsi="Calibri"/>
                <w:b w:val="0"/>
                <w:bCs w:val="0"/>
                <w:color w:val="3B3838" w:themeColor="background2" w:themeShade="40"/>
                <w:sz w:val="20"/>
                <w:szCs w:val="20"/>
              </w:rPr>
              <w:t>F</w:t>
            </w:r>
            <w:r>
              <w:rPr>
                <w:rFonts w:ascii="Calibri" w:eastAsia="Calibri" w:hAnsi="Calibri"/>
                <w:b w:val="0"/>
                <w:bCs w:val="0"/>
                <w:color w:val="3B3838" w:themeColor="background2" w:themeShade="40"/>
                <w:sz w:val="20"/>
                <w:szCs w:val="20"/>
              </w:rPr>
              <w:t>ortamun</w:t>
            </w:r>
            <w:proofErr w:type="spellEnd"/>
            <w:r w:rsidRPr="00994307">
              <w:rPr>
                <w:rFonts w:ascii="Calibri" w:eastAsia="Calibri" w:hAnsi="Calibri"/>
                <w:b w:val="0"/>
                <w:bCs w:val="0"/>
                <w:color w:val="3B3838" w:themeColor="background2" w:themeShade="40"/>
                <w:sz w:val="20"/>
                <w:szCs w:val="20"/>
              </w:rPr>
              <w:t xml:space="preserve"> se realizó combinando el análisis de documentos oficiales y entrevistas a profundidad. Esto permitió obtener una visión completa de la ejecución del fondo, tanto desde una perspectiva cuantitativa (datos numéricos) como cualitativa (opiniones y percepciones).</w:t>
            </w:r>
          </w:p>
          <w:p w14:paraId="0F4AC306" w14:textId="77777777" w:rsidR="00994307" w:rsidRPr="00994307" w:rsidRDefault="00994307" w:rsidP="00994307">
            <w:pPr>
              <w:spacing w:before="100" w:beforeAutospacing="1" w:after="100" w:afterAutospacing="1"/>
              <w:rPr>
                <w:rFonts w:ascii="Calibri" w:eastAsia="Calibri" w:hAnsi="Calibri"/>
                <w:b w:val="0"/>
                <w:bCs w:val="0"/>
                <w:color w:val="3B3838" w:themeColor="background2" w:themeShade="40"/>
                <w:sz w:val="20"/>
                <w:szCs w:val="20"/>
              </w:rPr>
            </w:pPr>
            <w:r w:rsidRPr="00994307">
              <w:rPr>
                <w:rFonts w:ascii="Calibri" w:eastAsia="Calibri" w:hAnsi="Calibri"/>
                <w:b w:val="0"/>
                <w:bCs w:val="0"/>
                <w:color w:val="3B3838" w:themeColor="background2" w:themeShade="40"/>
                <w:sz w:val="20"/>
                <w:szCs w:val="20"/>
              </w:rPr>
              <w:t>En resumen, las etapas de la evaluación fueron:</w:t>
            </w:r>
          </w:p>
          <w:p w14:paraId="42287A3F" w14:textId="77777777" w:rsidR="00994307" w:rsidRPr="00994307" w:rsidRDefault="00994307" w:rsidP="001324B2">
            <w:pPr>
              <w:pStyle w:val="Prrafodelista"/>
              <w:numPr>
                <w:ilvl w:val="0"/>
                <w:numId w:val="6"/>
              </w:numPr>
              <w:spacing w:before="100" w:beforeAutospacing="1" w:after="100" w:afterAutospacing="1"/>
              <w:rPr>
                <w:rFonts w:ascii="Calibri" w:eastAsia="Calibri" w:hAnsi="Calibri"/>
                <w:b w:val="0"/>
                <w:bCs w:val="0"/>
                <w:color w:val="3B3838" w:themeColor="background2" w:themeShade="40"/>
                <w:sz w:val="20"/>
              </w:rPr>
            </w:pPr>
            <w:r w:rsidRPr="00994307">
              <w:rPr>
                <w:rFonts w:ascii="Calibri" w:eastAsia="Calibri" w:hAnsi="Calibri"/>
                <w:b w:val="0"/>
                <w:bCs w:val="0"/>
                <w:color w:val="3B3838" w:themeColor="background2" w:themeShade="40"/>
                <w:sz w:val="20"/>
              </w:rPr>
              <w:t>Recopilación de información: Se revisaron documentos y se realizaron entrevistas.</w:t>
            </w:r>
          </w:p>
          <w:p w14:paraId="25E69E27" w14:textId="77777777" w:rsidR="00994307" w:rsidRPr="00994307" w:rsidRDefault="00994307" w:rsidP="001324B2">
            <w:pPr>
              <w:pStyle w:val="Prrafodelista"/>
              <w:numPr>
                <w:ilvl w:val="0"/>
                <w:numId w:val="6"/>
              </w:numPr>
              <w:spacing w:before="100" w:beforeAutospacing="1" w:after="100" w:afterAutospacing="1"/>
              <w:rPr>
                <w:rFonts w:ascii="Calibri" w:eastAsia="Calibri" w:hAnsi="Calibri"/>
                <w:b w:val="0"/>
                <w:bCs w:val="0"/>
                <w:color w:val="3B3838" w:themeColor="background2" w:themeShade="40"/>
                <w:sz w:val="20"/>
              </w:rPr>
            </w:pPr>
            <w:r w:rsidRPr="00994307">
              <w:rPr>
                <w:rFonts w:ascii="Calibri" w:eastAsia="Calibri" w:hAnsi="Calibri"/>
                <w:b w:val="0"/>
                <w:bCs w:val="0"/>
                <w:color w:val="3B3838" w:themeColor="background2" w:themeShade="40"/>
                <w:sz w:val="20"/>
              </w:rPr>
              <w:t>Análisis de datos: Se analizaron los datos obtenidos, tanto cuantitativos como cualitativos.</w:t>
            </w:r>
          </w:p>
          <w:p w14:paraId="1B4DFACA" w14:textId="77777777" w:rsidR="00994307" w:rsidRPr="00994307" w:rsidRDefault="00994307" w:rsidP="001324B2">
            <w:pPr>
              <w:pStyle w:val="Prrafodelista"/>
              <w:numPr>
                <w:ilvl w:val="0"/>
                <w:numId w:val="6"/>
              </w:numPr>
              <w:spacing w:before="100" w:beforeAutospacing="1" w:after="100" w:afterAutospacing="1"/>
              <w:rPr>
                <w:rFonts w:ascii="Calibri" w:eastAsia="Calibri" w:hAnsi="Calibri"/>
                <w:b w:val="0"/>
                <w:bCs w:val="0"/>
                <w:color w:val="3B3838" w:themeColor="background2" w:themeShade="40"/>
                <w:sz w:val="20"/>
              </w:rPr>
            </w:pPr>
            <w:r w:rsidRPr="00994307">
              <w:rPr>
                <w:rFonts w:ascii="Calibri" w:eastAsia="Calibri" w:hAnsi="Calibri"/>
                <w:b w:val="0"/>
                <w:bCs w:val="0"/>
                <w:color w:val="3B3838" w:themeColor="background2" w:themeShade="40"/>
                <w:sz w:val="20"/>
              </w:rPr>
              <w:lastRenderedPageBreak/>
              <w:t>Elaboración de reportes: Se presentaron los resultados de forma clara y concisa, cumpliendo con los requerimientos establecidos.</w:t>
            </w:r>
          </w:p>
          <w:p w14:paraId="199AC8D7" w14:textId="77777777" w:rsidR="00994307" w:rsidRPr="00994307" w:rsidRDefault="00994307" w:rsidP="00994307">
            <w:pPr>
              <w:spacing w:before="100" w:beforeAutospacing="1" w:after="100" w:afterAutospacing="1"/>
              <w:rPr>
                <w:rFonts w:ascii="Calibri" w:eastAsia="Calibri" w:hAnsi="Calibri"/>
                <w:b w:val="0"/>
                <w:bCs w:val="0"/>
                <w:color w:val="3B3838" w:themeColor="background2" w:themeShade="40"/>
                <w:sz w:val="20"/>
                <w:szCs w:val="20"/>
              </w:rPr>
            </w:pPr>
            <w:r w:rsidRPr="00994307">
              <w:rPr>
                <w:rFonts w:ascii="Calibri" w:eastAsia="Calibri" w:hAnsi="Calibri"/>
                <w:b w:val="0"/>
                <w:bCs w:val="0"/>
                <w:color w:val="3B3838" w:themeColor="background2" w:themeShade="40"/>
                <w:sz w:val="20"/>
                <w:szCs w:val="20"/>
              </w:rPr>
              <w:t>Las técnicas utilizadas fueron:</w:t>
            </w:r>
          </w:p>
          <w:p w14:paraId="62178F15" w14:textId="77777777" w:rsidR="00994307" w:rsidRPr="00994307" w:rsidRDefault="00994307" w:rsidP="001324B2">
            <w:pPr>
              <w:pStyle w:val="Prrafodelista"/>
              <w:numPr>
                <w:ilvl w:val="0"/>
                <w:numId w:val="7"/>
              </w:numPr>
              <w:spacing w:before="100" w:beforeAutospacing="1" w:after="100" w:afterAutospacing="1"/>
              <w:rPr>
                <w:rFonts w:ascii="Calibri" w:eastAsia="Calibri" w:hAnsi="Calibri"/>
                <w:b w:val="0"/>
                <w:bCs w:val="0"/>
                <w:color w:val="3B3838" w:themeColor="background2" w:themeShade="40"/>
                <w:sz w:val="20"/>
              </w:rPr>
            </w:pPr>
            <w:r w:rsidRPr="00994307">
              <w:rPr>
                <w:rFonts w:ascii="Calibri" w:eastAsia="Calibri" w:hAnsi="Calibri"/>
                <w:b w:val="0"/>
                <w:bCs w:val="0"/>
                <w:color w:val="3B3838" w:themeColor="background2" w:themeShade="40"/>
                <w:sz w:val="20"/>
              </w:rPr>
              <w:t>Investigación cualitativa: Entrevistas a profundidad.</w:t>
            </w:r>
          </w:p>
          <w:p w14:paraId="3CD91490" w14:textId="77777777" w:rsidR="00994307" w:rsidRPr="00994307" w:rsidRDefault="00994307" w:rsidP="001324B2">
            <w:pPr>
              <w:pStyle w:val="Prrafodelista"/>
              <w:numPr>
                <w:ilvl w:val="0"/>
                <w:numId w:val="7"/>
              </w:numPr>
              <w:spacing w:before="100" w:beforeAutospacing="1" w:after="100" w:afterAutospacing="1"/>
              <w:rPr>
                <w:rFonts w:ascii="Calibri" w:eastAsia="Calibri" w:hAnsi="Calibri"/>
                <w:b w:val="0"/>
                <w:bCs w:val="0"/>
                <w:color w:val="3B3838" w:themeColor="background2" w:themeShade="40"/>
                <w:sz w:val="20"/>
              </w:rPr>
            </w:pPr>
            <w:r w:rsidRPr="00994307">
              <w:rPr>
                <w:rFonts w:ascii="Calibri" w:eastAsia="Calibri" w:hAnsi="Calibri"/>
                <w:b w:val="0"/>
                <w:bCs w:val="0"/>
                <w:color w:val="3B3838" w:themeColor="background2" w:themeShade="40"/>
                <w:sz w:val="20"/>
              </w:rPr>
              <w:t>Investigación documental: Análisis de documentos oficiales.</w:t>
            </w:r>
          </w:p>
          <w:p w14:paraId="6EF69C6B" w14:textId="77777777" w:rsidR="00994307" w:rsidRPr="00994307" w:rsidRDefault="00994307" w:rsidP="00994307">
            <w:pPr>
              <w:spacing w:before="100" w:beforeAutospacing="1" w:after="100" w:afterAutospacing="1"/>
              <w:rPr>
                <w:rFonts w:ascii="Calibri" w:eastAsia="Calibri" w:hAnsi="Calibri"/>
                <w:b w:val="0"/>
                <w:bCs w:val="0"/>
                <w:color w:val="3B3838" w:themeColor="background2" w:themeShade="40"/>
                <w:sz w:val="20"/>
                <w:szCs w:val="20"/>
              </w:rPr>
            </w:pPr>
            <w:r w:rsidRPr="00994307">
              <w:rPr>
                <w:rFonts w:ascii="Calibri" w:eastAsia="Calibri" w:hAnsi="Calibri"/>
                <w:b w:val="0"/>
                <w:bCs w:val="0"/>
                <w:color w:val="3B3838" w:themeColor="background2" w:themeShade="40"/>
                <w:sz w:val="20"/>
                <w:szCs w:val="20"/>
              </w:rPr>
              <w:t xml:space="preserve">La combinación de estas técnicas permitió obtener una comprensión profunda y confiable de la ejecución del </w:t>
            </w:r>
            <w:proofErr w:type="spellStart"/>
            <w:r w:rsidRPr="00994307">
              <w:rPr>
                <w:rFonts w:ascii="Calibri" w:eastAsia="Calibri" w:hAnsi="Calibri"/>
                <w:b w:val="0"/>
                <w:bCs w:val="0"/>
                <w:color w:val="3B3838" w:themeColor="background2" w:themeShade="40"/>
                <w:sz w:val="20"/>
                <w:szCs w:val="20"/>
              </w:rPr>
              <w:t>F</w:t>
            </w:r>
            <w:r>
              <w:rPr>
                <w:rFonts w:ascii="Calibri" w:eastAsia="Calibri" w:hAnsi="Calibri"/>
                <w:b w:val="0"/>
                <w:bCs w:val="0"/>
                <w:color w:val="3B3838" w:themeColor="background2" w:themeShade="40"/>
                <w:sz w:val="20"/>
                <w:szCs w:val="20"/>
              </w:rPr>
              <w:t>ortamun</w:t>
            </w:r>
            <w:proofErr w:type="spellEnd"/>
            <w:r w:rsidRPr="00994307">
              <w:rPr>
                <w:rFonts w:ascii="Calibri" w:eastAsia="Calibri" w:hAnsi="Calibri"/>
                <w:b w:val="0"/>
                <w:bCs w:val="0"/>
                <w:color w:val="3B3838" w:themeColor="background2" w:themeShade="40"/>
                <w:sz w:val="20"/>
                <w:szCs w:val="20"/>
              </w:rPr>
              <w:t>.</w:t>
            </w:r>
          </w:p>
          <w:p w14:paraId="05DBB959" w14:textId="77777777" w:rsidR="00E607B3" w:rsidRPr="0003342C" w:rsidRDefault="00E607B3" w:rsidP="00727561">
            <w:pPr>
              <w:spacing w:before="120" w:after="120" w:line="276" w:lineRule="auto"/>
              <w:jc w:val="both"/>
              <w:rPr>
                <w:rFonts w:ascii="Calibri" w:eastAsia="Calibri" w:hAnsi="Calibri"/>
                <w:b w:val="0"/>
                <w:bCs w:val="0"/>
                <w:color w:val="3B3838" w:themeColor="background2" w:themeShade="40"/>
                <w:sz w:val="20"/>
                <w:szCs w:val="20"/>
              </w:rPr>
            </w:pPr>
          </w:p>
        </w:tc>
      </w:tr>
      <w:tr w:rsidR="00E607B3" w:rsidRPr="0003342C" w14:paraId="3C3DBC3E" w14:textId="77777777" w:rsidTr="00BD5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DF5390" w14:textId="77777777" w:rsidR="00E607B3" w:rsidRPr="0003342C" w:rsidRDefault="00E607B3" w:rsidP="00727561">
            <w:pPr>
              <w:spacing w:before="120" w:after="120" w:line="276"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lastRenderedPageBreak/>
              <w:t>2.PRINCIPALES HALLAZGOS DE LA EVALUACIÓN.</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957887" w14:textId="77777777" w:rsidR="00E607B3" w:rsidRPr="0003342C" w:rsidRDefault="00E607B3" w:rsidP="00727561">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p>
        </w:tc>
      </w:tr>
      <w:tr w:rsidR="00E607B3" w:rsidRPr="00AF342C" w14:paraId="7D5FF799" w14:textId="77777777" w:rsidTr="00727561">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B7143" w14:textId="77777777" w:rsidR="00AF342C" w:rsidRPr="0097323A" w:rsidRDefault="00E607B3" w:rsidP="00AF342C">
            <w:pPr>
              <w:spacing w:before="120" w:after="120" w:line="276" w:lineRule="auto"/>
              <w:jc w:val="both"/>
              <w:rPr>
                <w:rFonts w:ascii="Calibri" w:eastAsia="Calibri" w:hAnsi="Calibri"/>
                <w:b w:val="0"/>
                <w:bCs w:val="0"/>
                <w:color w:val="3B3838" w:themeColor="background2" w:themeShade="40"/>
                <w:sz w:val="20"/>
                <w:szCs w:val="20"/>
              </w:rPr>
            </w:pPr>
            <w:r w:rsidRPr="0097323A">
              <w:rPr>
                <w:rFonts w:ascii="Calibri" w:eastAsia="Calibri" w:hAnsi="Calibri"/>
                <w:b w:val="0"/>
                <w:bCs w:val="0"/>
                <w:color w:val="3B3838" w:themeColor="background2" w:themeShade="40"/>
                <w:sz w:val="20"/>
                <w:szCs w:val="20"/>
              </w:rPr>
              <w:t>2.1 Describir los hallazgos más relevantes de la evaluación.</w:t>
            </w:r>
          </w:p>
          <w:p w14:paraId="5FE4EFE7" w14:textId="77777777" w:rsidR="0097323A" w:rsidRPr="0097323A" w:rsidRDefault="0097323A" w:rsidP="0097323A">
            <w:pPr>
              <w:spacing w:before="100" w:beforeAutospacing="1" w:after="100" w:afterAutospacing="1" w:line="240" w:lineRule="atLeast"/>
              <w:rPr>
                <w:rFonts w:ascii="Calibri" w:eastAsia="Calibri" w:hAnsi="Calibri"/>
                <w:b w:val="0"/>
                <w:bCs w:val="0"/>
                <w:color w:val="3B3838" w:themeColor="background2" w:themeShade="40"/>
                <w:sz w:val="20"/>
                <w:szCs w:val="20"/>
              </w:rPr>
            </w:pPr>
            <w:r w:rsidRPr="0097323A">
              <w:rPr>
                <w:rFonts w:ascii="Calibri" w:eastAsia="Calibri" w:hAnsi="Calibri"/>
                <w:b w:val="0"/>
                <w:bCs w:val="0"/>
                <w:color w:val="3B3838" w:themeColor="background2" w:themeShade="40"/>
                <w:sz w:val="20"/>
                <w:szCs w:val="20"/>
              </w:rPr>
              <w:t xml:space="preserve">Los resultados de la evaluación del FORTAMUN 2023 son sumamente alentadores, evidenciando un alto grado de cumplimiento en la ejecución del programa y una gestión eficiente de los recursos asignados. </w:t>
            </w:r>
          </w:p>
          <w:p w14:paraId="6CD46594" w14:textId="77777777" w:rsidR="0097323A" w:rsidRPr="0097323A" w:rsidRDefault="0097323A" w:rsidP="0097323A">
            <w:pPr>
              <w:spacing w:before="100" w:beforeAutospacing="1" w:after="100" w:afterAutospacing="1" w:line="240" w:lineRule="atLeast"/>
              <w:rPr>
                <w:rFonts w:ascii="Calibri" w:eastAsia="Calibri" w:hAnsi="Calibri"/>
                <w:b w:val="0"/>
                <w:bCs w:val="0"/>
                <w:color w:val="3B3838" w:themeColor="background2" w:themeShade="40"/>
                <w:sz w:val="20"/>
                <w:szCs w:val="20"/>
              </w:rPr>
            </w:pPr>
            <w:r w:rsidRPr="0097323A">
              <w:rPr>
                <w:rFonts w:ascii="Calibri" w:eastAsia="Calibri" w:hAnsi="Calibri"/>
                <w:b w:val="0"/>
                <w:bCs w:val="0"/>
                <w:color w:val="3B3838" w:themeColor="background2" w:themeShade="40"/>
                <w:sz w:val="20"/>
                <w:szCs w:val="20"/>
              </w:rPr>
              <w:t>La evaluación del FORTAMUN 2023 en Calkiní revela un desempeño sólido en la ejecución del programa. Con un cumplimiento general del 89.53%, destacando un 99.66% en la aplicación financiera y un 79.40% en la aplicación del cuestionario de la evaluación de consistencia y resultados., en la cuantificación de las 35 preguntas, sumado a las 16 cuantitativas, revela oportunidades de mejora en el diseño, planeación estratégica, participación ciudadana, seguimiento de proyectos, evaluación y seguimiento.</w:t>
            </w:r>
          </w:p>
          <w:p w14:paraId="2B49D7DA" w14:textId="77777777" w:rsidR="0097323A" w:rsidRPr="0097323A" w:rsidRDefault="0097323A" w:rsidP="0097323A">
            <w:pPr>
              <w:spacing w:before="100" w:beforeAutospacing="1" w:after="100" w:afterAutospacing="1" w:line="240" w:lineRule="atLeast"/>
              <w:rPr>
                <w:rFonts w:ascii="Calibri" w:eastAsia="Calibri" w:hAnsi="Calibri"/>
                <w:b w:val="0"/>
                <w:bCs w:val="0"/>
                <w:color w:val="3B3838" w:themeColor="background2" w:themeShade="40"/>
                <w:sz w:val="20"/>
                <w:szCs w:val="20"/>
              </w:rPr>
            </w:pPr>
            <w:r w:rsidRPr="0097323A">
              <w:rPr>
                <w:rFonts w:ascii="Calibri" w:eastAsia="Calibri" w:hAnsi="Calibri"/>
                <w:b w:val="0"/>
                <w:bCs w:val="0"/>
                <w:color w:val="3B3838" w:themeColor="background2" w:themeShade="40"/>
                <w:sz w:val="20"/>
                <w:szCs w:val="20"/>
              </w:rPr>
              <w:t>Detallando un poco más los resultados obtenidos, tenemos:</w:t>
            </w:r>
          </w:p>
          <w:p w14:paraId="4AEA8E0D" w14:textId="77777777" w:rsidR="0097323A" w:rsidRPr="0097323A" w:rsidRDefault="0097323A" w:rsidP="001324B2">
            <w:pPr>
              <w:numPr>
                <w:ilvl w:val="0"/>
                <w:numId w:val="8"/>
              </w:numPr>
              <w:spacing w:before="100" w:beforeAutospacing="1" w:after="100" w:afterAutospacing="1"/>
              <w:rPr>
                <w:rFonts w:ascii="Calibri" w:eastAsia="Calibri" w:hAnsi="Calibri"/>
                <w:b w:val="0"/>
                <w:bCs w:val="0"/>
                <w:color w:val="3B3838" w:themeColor="background2" w:themeShade="40"/>
                <w:sz w:val="20"/>
                <w:szCs w:val="20"/>
              </w:rPr>
            </w:pPr>
            <w:r w:rsidRPr="0097323A">
              <w:rPr>
                <w:rFonts w:ascii="Calibri" w:eastAsia="Calibri" w:hAnsi="Calibri"/>
                <w:b w:val="0"/>
                <w:bCs w:val="0"/>
                <w:color w:val="3B3838" w:themeColor="background2" w:themeShade="40"/>
                <w:sz w:val="20"/>
                <w:szCs w:val="20"/>
              </w:rPr>
              <w:t>Excelencia en la Gestión Financiera: El puntaje de 99.66% en la aplicación financiera demuestra un manejo transparente y eficiente de los recursos, cumpliendo con las normativas y asegurando que los fondos se destinen a los fines establecidos.</w:t>
            </w:r>
          </w:p>
          <w:p w14:paraId="235869FB" w14:textId="77777777" w:rsidR="0097323A" w:rsidRPr="0097323A" w:rsidRDefault="0097323A" w:rsidP="001324B2">
            <w:pPr>
              <w:numPr>
                <w:ilvl w:val="0"/>
                <w:numId w:val="8"/>
              </w:numPr>
              <w:spacing w:before="100" w:beforeAutospacing="1" w:after="100" w:afterAutospacing="1"/>
              <w:rPr>
                <w:rFonts w:ascii="Calibri" w:eastAsia="Calibri" w:hAnsi="Calibri"/>
                <w:b w:val="0"/>
                <w:bCs w:val="0"/>
                <w:color w:val="3B3838" w:themeColor="background2" w:themeShade="40"/>
                <w:sz w:val="20"/>
                <w:szCs w:val="20"/>
              </w:rPr>
            </w:pPr>
            <w:r w:rsidRPr="0097323A">
              <w:rPr>
                <w:rFonts w:ascii="Calibri" w:eastAsia="Calibri" w:hAnsi="Calibri"/>
                <w:b w:val="0"/>
                <w:bCs w:val="0"/>
                <w:color w:val="3B3838" w:themeColor="background2" w:themeShade="40"/>
                <w:sz w:val="20"/>
                <w:szCs w:val="20"/>
              </w:rPr>
              <w:t>Sólida Base Institucional: El cumplimiento general del 79.40% indica que el municipio cuenta con una estructura institucional sólida y con la capacidad de gestionar programas federales de manera eficaz.</w:t>
            </w:r>
          </w:p>
          <w:p w14:paraId="11E6932F" w14:textId="77777777" w:rsidR="0097323A" w:rsidRPr="0097323A" w:rsidRDefault="0097323A" w:rsidP="001324B2">
            <w:pPr>
              <w:numPr>
                <w:ilvl w:val="0"/>
                <w:numId w:val="8"/>
              </w:numPr>
              <w:spacing w:before="100" w:beforeAutospacing="1" w:after="100" w:afterAutospacing="1"/>
              <w:rPr>
                <w:rFonts w:ascii="Calibri" w:eastAsia="Calibri" w:hAnsi="Calibri"/>
                <w:b w:val="0"/>
                <w:bCs w:val="0"/>
                <w:color w:val="3B3838" w:themeColor="background2" w:themeShade="40"/>
                <w:sz w:val="20"/>
                <w:szCs w:val="20"/>
              </w:rPr>
            </w:pPr>
            <w:r w:rsidRPr="0097323A">
              <w:rPr>
                <w:rFonts w:ascii="Calibri" w:eastAsia="Calibri" w:hAnsi="Calibri"/>
                <w:b w:val="0"/>
                <w:bCs w:val="0"/>
                <w:color w:val="3B3838" w:themeColor="background2" w:themeShade="40"/>
                <w:sz w:val="20"/>
                <w:szCs w:val="20"/>
              </w:rPr>
              <w:t>Avances en la Planeación y Ejecución: Los resultados sugieren que el municipio ha realizado esfuerzos significativos en la planeación y ejecución de los proyectos financiados con el FORTAMUN.</w:t>
            </w:r>
          </w:p>
          <w:p w14:paraId="55A9331C" w14:textId="77777777" w:rsidR="0097323A" w:rsidRPr="0097323A" w:rsidRDefault="0097323A" w:rsidP="001324B2">
            <w:pPr>
              <w:numPr>
                <w:ilvl w:val="0"/>
                <w:numId w:val="8"/>
              </w:numPr>
              <w:spacing w:before="100" w:beforeAutospacing="1" w:after="100" w:afterAutospacing="1"/>
              <w:rPr>
                <w:rFonts w:ascii="Calibri" w:eastAsia="Calibri" w:hAnsi="Calibri"/>
                <w:b w:val="0"/>
                <w:bCs w:val="0"/>
                <w:color w:val="3B3838" w:themeColor="background2" w:themeShade="40"/>
                <w:sz w:val="20"/>
                <w:szCs w:val="20"/>
              </w:rPr>
            </w:pPr>
            <w:r w:rsidRPr="0097323A">
              <w:rPr>
                <w:rFonts w:ascii="Calibri" w:eastAsia="Calibri" w:hAnsi="Calibri"/>
                <w:b w:val="0"/>
                <w:bCs w:val="0"/>
                <w:color w:val="3B3838" w:themeColor="background2" w:themeShade="40"/>
                <w:sz w:val="20"/>
                <w:szCs w:val="20"/>
              </w:rPr>
              <w:t xml:space="preserve">Es el 3er fondo </w:t>
            </w:r>
            <w:proofErr w:type="spellStart"/>
            <w:r w:rsidRPr="0097323A">
              <w:rPr>
                <w:rFonts w:ascii="Calibri" w:eastAsia="Calibri" w:hAnsi="Calibri"/>
                <w:b w:val="0"/>
                <w:bCs w:val="0"/>
                <w:color w:val="3B3838" w:themeColor="background2" w:themeShade="40"/>
                <w:sz w:val="20"/>
                <w:szCs w:val="20"/>
              </w:rPr>
              <w:t>mas</w:t>
            </w:r>
            <w:proofErr w:type="spellEnd"/>
            <w:r w:rsidRPr="0097323A">
              <w:rPr>
                <w:rFonts w:ascii="Calibri" w:eastAsia="Calibri" w:hAnsi="Calibri"/>
                <w:b w:val="0"/>
                <w:bCs w:val="0"/>
                <w:color w:val="3B3838" w:themeColor="background2" w:themeShade="40"/>
                <w:sz w:val="20"/>
                <w:szCs w:val="20"/>
              </w:rPr>
              <w:t xml:space="preserve"> importante para el municipio, representa el 12% del presupuesto total en 2023. </w:t>
            </w:r>
            <w:proofErr w:type="spellStart"/>
            <w:r w:rsidRPr="0097323A">
              <w:rPr>
                <w:rFonts w:ascii="Calibri" w:eastAsia="Calibri" w:hAnsi="Calibri"/>
                <w:b w:val="0"/>
                <w:bCs w:val="0"/>
                <w:color w:val="3B3838" w:themeColor="background2" w:themeShade="40"/>
                <w:sz w:val="20"/>
                <w:szCs w:val="20"/>
              </w:rPr>
              <w:t>Fortamun</w:t>
            </w:r>
            <w:proofErr w:type="spellEnd"/>
            <w:r w:rsidRPr="0097323A">
              <w:rPr>
                <w:rFonts w:ascii="Calibri" w:eastAsia="Calibri" w:hAnsi="Calibri"/>
                <w:b w:val="0"/>
                <w:bCs w:val="0"/>
                <w:color w:val="3B3838" w:themeColor="background2" w:themeShade="40"/>
                <w:sz w:val="20"/>
                <w:szCs w:val="20"/>
              </w:rPr>
              <w:t xml:space="preserve"> recibió un presupuesto devengado es de $38,091,524.22, el cual fue pagado en esa misma cantidad. </w:t>
            </w:r>
          </w:p>
          <w:p w14:paraId="571AAC7C" w14:textId="77777777" w:rsidR="0097323A" w:rsidRPr="0097323A" w:rsidRDefault="0097323A" w:rsidP="001324B2">
            <w:pPr>
              <w:numPr>
                <w:ilvl w:val="0"/>
                <w:numId w:val="8"/>
              </w:numPr>
              <w:spacing w:before="100" w:beforeAutospacing="1" w:after="100" w:afterAutospacing="1"/>
              <w:rPr>
                <w:rFonts w:ascii="Calibri" w:eastAsia="Calibri" w:hAnsi="Calibri"/>
                <w:b w:val="0"/>
                <w:bCs w:val="0"/>
                <w:color w:val="3B3838" w:themeColor="background2" w:themeShade="40"/>
                <w:sz w:val="20"/>
                <w:szCs w:val="20"/>
              </w:rPr>
            </w:pPr>
            <w:r w:rsidRPr="0097323A">
              <w:rPr>
                <w:rFonts w:ascii="Calibri" w:eastAsia="Calibri" w:hAnsi="Calibri"/>
                <w:b w:val="0"/>
                <w:bCs w:val="0"/>
                <w:color w:val="3B3838" w:themeColor="background2" w:themeShade="40"/>
                <w:sz w:val="20"/>
                <w:szCs w:val="20"/>
              </w:rPr>
              <w:t xml:space="preserve">Se destinaron un 89.44% ($34,079,613.02) para cubrir las obligaciones financieras, principalmente de luz en un 84% y el resto para telefonía. y el segundo destino del recurso fue el combustible con un 8%. </w:t>
            </w:r>
          </w:p>
          <w:p w14:paraId="3557FFCB" w14:textId="77777777" w:rsidR="0097323A" w:rsidRPr="0097323A" w:rsidRDefault="0097323A" w:rsidP="001324B2">
            <w:pPr>
              <w:numPr>
                <w:ilvl w:val="0"/>
                <w:numId w:val="8"/>
              </w:numPr>
              <w:spacing w:before="100" w:beforeAutospacing="1" w:after="100" w:afterAutospacing="1"/>
              <w:rPr>
                <w:rFonts w:ascii="Calibri" w:eastAsia="Calibri" w:hAnsi="Calibri"/>
                <w:b w:val="0"/>
                <w:bCs w:val="0"/>
                <w:color w:val="3B3838" w:themeColor="background2" w:themeShade="40"/>
                <w:sz w:val="20"/>
                <w:szCs w:val="20"/>
              </w:rPr>
            </w:pPr>
            <w:r w:rsidRPr="0097323A">
              <w:rPr>
                <w:rFonts w:ascii="Calibri" w:eastAsia="Calibri" w:hAnsi="Calibri"/>
                <w:b w:val="0"/>
                <w:bCs w:val="0"/>
                <w:color w:val="3B3838" w:themeColor="background2" w:themeShade="40"/>
                <w:sz w:val="20"/>
                <w:szCs w:val="20"/>
              </w:rPr>
              <w:t xml:space="preserve">De los recursos recibidos se han aplicado el 99.66%, pero aun así hay una cantidad que no se </w:t>
            </w:r>
            <w:proofErr w:type="spellStart"/>
            <w:r w:rsidRPr="0097323A">
              <w:rPr>
                <w:rFonts w:ascii="Calibri" w:eastAsia="Calibri" w:hAnsi="Calibri"/>
                <w:b w:val="0"/>
                <w:bCs w:val="0"/>
                <w:color w:val="3B3838" w:themeColor="background2" w:themeShade="40"/>
                <w:sz w:val="20"/>
                <w:szCs w:val="20"/>
              </w:rPr>
              <w:t>logro</w:t>
            </w:r>
            <w:proofErr w:type="spellEnd"/>
            <w:r w:rsidRPr="0097323A">
              <w:rPr>
                <w:rFonts w:ascii="Calibri" w:eastAsia="Calibri" w:hAnsi="Calibri"/>
                <w:b w:val="0"/>
                <w:bCs w:val="0"/>
                <w:color w:val="3B3838" w:themeColor="background2" w:themeShade="40"/>
                <w:sz w:val="20"/>
                <w:szCs w:val="20"/>
              </w:rPr>
              <w:t xml:space="preserve"> comprometer, devengar y ejercer. </w:t>
            </w:r>
          </w:p>
          <w:p w14:paraId="0BFCD40F" w14:textId="77777777" w:rsidR="00E607B3" w:rsidRPr="0097323A" w:rsidRDefault="0097323A" w:rsidP="0097323A">
            <w:pPr>
              <w:spacing w:before="100" w:beforeAutospacing="1" w:after="100" w:afterAutospacing="1" w:line="240" w:lineRule="atLeast"/>
              <w:rPr>
                <w:rFonts w:ascii="Calibri" w:eastAsia="Calibri" w:hAnsi="Calibri"/>
                <w:b w:val="0"/>
                <w:bCs w:val="0"/>
                <w:color w:val="3B3838" w:themeColor="background2" w:themeShade="40"/>
                <w:sz w:val="20"/>
                <w:szCs w:val="20"/>
              </w:rPr>
            </w:pPr>
            <w:r w:rsidRPr="0097323A">
              <w:rPr>
                <w:rFonts w:ascii="Calibri" w:eastAsia="Calibri" w:hAnsi="Calibri"/>
                <w:b w:val="0"/>
                <w:bCs w:val="0"/>
                <w:color w:val="3B3838" w:themeColor="background2" w:themeShade="40"/>
                <w:sz w:val="20"/>
                <w:szCs w:val="20"/>
              </w:rPr>
              <w:t xml:space="preserve">El fondo presenta un subejercicio de las obras al no comprometerse la ampliación del presupuesto, al igual que al devengarse hay una diferencias de $ 13,613.78. </w:t>
            </w:r>
          </w:p>
        </w:tc>
      </w:tr>
      <w:tr w:rsidR="00E607B3" w:rsidRPr="00AF342C" w14:paraId="5BC71F0C" w14:textId="77777777" w:rsidTr="0072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AA929B" w14:textId="77777777" w:rsidR="00E607B3" w:rsidRPr="00AF342C" w:rsidRDefault="00E607B3" w:rsidP="00727561">
            <w:pPr>
              <w:spacing w:before="120" w:after="120" w:line="276" w:lineRule="auto"/>
              <w:jc w:val="both"/>
              <w:rPr>
                <w:rFonts w:ascii="Calibri" w:eastAsia="Calibri" w:hAnsi="Calibri"/>
                <w:b w:val="0"/>
                <w:bCs w:val="0"/>
                <w:color w:val="3B3838" w:themeColor="background2" w:themeShade="40"/>
                <w:sz w:val="20"/>
                <w:szCs w:val="20"/>
                <w:lang w:val="es-ES_tradnl" w:eastAsia="es-ES"/>
              </w:rPr>
            </w:pPr>
            <w:r w:rsidRPr="00AF342C">
              <w:rPr>
                <w:rFonts w:ascii="Calibri" w:eastAsia="Calibri" w:hAnsi="Calibri"/>
                <w:b w:val="0"/>
                <w:bCs w:val="0"/>
                <w:color w:val="3B3838" w:themeColor="background2" w:themeShade="40"/>
                <w:sz w:val="20"/>
                <w:szCs w:val="20"/>
                <w:lang w:val="es-ES_tradnl" w:eastAsia="es-ES"/>
              </w:rPr>
              <w:t>2.2. Señalar cuáles son las principales Fortalezas, Oportunidades, Debilidades y Amenazas (FODA), de acuerdo con los temas del programa, estrategia o institución.</w:t>
            </w:r>
          </w:p>
        </w:tc>
      </w:tr>
      <w:tr w:rsidR="00E607B3" w:rsidRPr="0003342C" w14:paraId="09902516" w14:textId="77777777" w:rsidTr="00727561">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FEE7EE" w14:textId="77777777" w:rsidR="00E607B3" w:rsidRPr="004527CD" w:rsidRDefault="00E607B3" w:rsidP="00727561">
            <w:pPr>
              <w:spacing w:line="276" w:lineRule="auto"/>
              <w:jc w:val="both"/>
              <w:rPr>
                <w:rFonts w:ascii="Calibri" w:eastAsia="Calibri" w:hAnsi="Calibri"/>
                <w:color w:val="3B3838" w:themeColor="background2" w:themeShade="40"/>
                <w:sz w:val="20"/>
                <w:szCs w:val="20"/>
              </w:rPr>
            </w:pPr>
            <w:r w:rsidRPr="004527CD">
              <w:rPr>
                <w:rFonts w:ascii="Calibri" w:eastAsia="Calibri" w:hAnsi="Calibri"/>
                <w:color w:val="3B3838" w:themeColor="background2" w:themeShade="40"/>
                <w:sz w:val="20"/>
                <w:szCs w:val="20"/>
                <w:lang w:eastAsia="es-MX"/>
              </w:rPr>
              <w:t>2.2.1. Fortalezas.</w:t>
            </w:r>
          </w:p>
          <w:p w14:paraId="4E143D66" w14:textId="77777777" w:rsidR="00E607B3" w:rsidRPr="003543A9" w:rsidRDefault="003543A9" w:rsidP="001324B2">
            <w:pPr>
              <w:pStyle w:val="Prrafodelista"/>
              <w:numPr>
                <w:ilvl w:val="0"/>
                <w:numId w:val="2"/>
              </w:numPr>
              <w:spacing w:before="120" w:after="120" w:line="276" w:lineRule="auto"/>
              <w:jc w:val="both"/>
              <w:rPr>
                <w:rStyle w:val="oypena"/>
                <w:rFonts w:asciiTheme="minorHAnsi" w:eastAsia="Calibri" w:hAnsiTheme="minorHAnsi" w:cstheme="minorHAnsi"/>
                <w:b w:val="0"/>
                <w:bCs w:val="0"/>
                <w:color w:val="3B3838" w:themeColor="background2" w:themeShade="40"/>
                <w:sz w:val="20"/>
                <w:lang w:eastAsia="es-MX"/>
              </w:rPr>
            </w:pPr>
            <w:r w:rsidRPr="003543A9">
              <w:rPr>
                <w:rStyle w:val="oypena"/>
                <w:rFonts w:asciiTheme="minorHAnsi" w:hAnsiTheme="minorHAnsi" w:cstheme="minorHAnsi"/>
                <w:b w:val="0"/>
                <w:bCs w:val="0"/>
                <w:color w:val="000000"/>
              </w:rPr>
              <w:t>Existe información que permite conocer quienes reciben los apoyos del fondo.</w:t>
            </w:r>
          </w:p>
          <w:p w14:paraId="798444C6" w14:textId="77777777" w:rsidR="003543A9" w:rsidRPr="003543A9" w:rsidRDefault="003543A9" w:rsidP="001324B2">
            <w:pPr>
              <w:pStyle w:val="Prrafodelista"/>
              <w:numPr>
                <w:ilvl w:val="0"/>
                <w:numId w:val="2"/>
              </w:numPr>
              <w:spacing w:before="120" w:after="120" w:line="276" w:lineRule="auto"/>
              <w:jc w:val="both"/>
              <w:rPr>
                <w:rStyle w:val="oypena"/>
                <w:rFonts w:asciiTheme="minorHAnsi" w:eastAsia="Calibri" w:hAnsiTheme="minorHAnsi" w:cstheme="minorHAnsi"/>
                <w:b w:val="0"/>
                <w:bCs w:val="0"/>
                <w:color w:val="3B3838" w:themeColor="background2" w:themeShade="40"/>
                <w:sz w:val="20"/>
                <w:lang w:eastAsia="es-MX"/>
              </w:rPr>
            </w:pPr>
            <w:r w:rsidRPr="003543A9">
              <w:rPr>
                <w:rStyle w:val="oypena"/>
                <w:rFonts w:asciiTheme="minorHAnsi" w:hAnsiTheme="minorHAnsi" w:cstheme="minorHAnsi"/>
                <w:b w:val="0"/>
                <w:bCs w:val="0"/>
                <w:color w:val="353A34"/>
              </w:rPr>
              <w:lastRenderedPageBreak/>
              <w:t>Para el caso de FORTAMUN, el fondo no cuenta con una MIR específica, sin embargo, contribuye al cumplimiento de metas y objetivos del programa presupuestario.</w:t>
            </w:r>
          </w:p>
          <w:p w14:paraId="624F599D" w14:textId="77777777" w:rsidR="003543A9" w:rsidRPr="003543A9" w:rsidRDefault="003543A9" w:rsidP="001324B2">
            <w:pPr>
              <w:pStyle w:val="Prrafodelista"/>
              <w:numPr>
                <w:ilvl w:val="0"/>
                <w:numId w:val="2"/>
              </w:numPr>
              <w:spacing w:before="120" w:after="120" w:line="276" w:lineRule="auto"/>
              <w:jc w:val="both"/>
              <w:rPr>
                <w:rStyle w:val="oypena"/>
                <w:rFonts w:asciiTheme="minorHAnsi" w:eastAsia="Calibri" w:hAnsiTheme="minorHAnsi" w:cstheme="minorHAnsi"/>
                <w:b w:val="0"/>
                <w:bCs w:val="0"/>
                <w:color w:val="3B3838" w:themeColor="background2" w:themeShade="40"/>
                <w:sz w:val="20"/>
                <w:lang w:eastAsia="es-MX"/>
              </w:rPr>
            </w:pPr>
            <w:r w:rsidRPr="003543A9">
              <w:rPr>
                <w:rStyle w:val="oypena"/>
                <w:rFonts w:asciiTheme="minorHAnsi" w:hAnsiTheme="minorHAnsi" w:cstheme="minorHAnsi"/>
                <w:b w:val="0"/>
                <w:bCs w:val="0"/>
                <w:color w:val="353A34"/>
              </w:rPr>
              <w:t>El 100% de las fichas técnica de los indicadores se establecen los elementos: nombre del indicador; la definición y/o interpretación; el método de cálculo; la unidad de medida; la frecuencia de medición; línea base; programación de las metas;</w:t>
            </w:r>
          </w:p>
          <w:p w14:paraId="192DB547" w14:textId="77777777" w:rsidR="003543A9" w:rsidRPr="004527CD" w:rsidRDefault="003543A9" w:rsidP="001324B2">
            <w:pPr>
              <w:pStyle w:val="Prrafodelista"/>
              <w:numPr>
                <w:ilvl w:val="0"/>
                <w:numId w:val="2"/>
              </w:numPr>
              <w:spacing w:before="120" w:after="120" w:line="276" w:lineRule="auto"/>
              <w:jc w:val="both"/>
              <w:rPr>
                <w:rFonts w:ascii="Calibri" w:eastAsia="Calibri" w:hAnsi="Calibri"/>
                <w:b w:val="0"/>
                <w:bCs w:val="0"/>
                <w:color w:val="3B3838" w:themeColor="background2" w:themeShade="40"/>
                <w:sz w:val="20"/>
                <w:lang w:eastAsia="es-MX"/>
              </w:rPr>
            </w:pPr>
            <w:r w:rsidRPr="003543A9">
              <w:rPr>
                <w:rStyle w:val="oypena"/>
                <w:rFonts w:asciiTheme="minorHAnsi" w:hAnsiTheme="minorHAnsi" w:cstheme="minorHAnsi"/>
                <w:b w:val="0"/>
                <w:bCs w:val="0"/>
                <w:color w:val="000000"/>
              </w:rPr>
              <w:t>El 100% de las metas cuentan con unidad de medida. Están orientadas a impulsar el desempeño ya que la programación supera la línea base y son factibles de alcanzar considerando los plazos y los recursos humanos y financieros con los que cuenta el programa</w:t>
            </w:r>
          </w:p>
        </w:tc>
      </w:tr>
      <w:tr w:rsidR="00E607B3" w:rsidRPr="0003342C" w14:paraId="7D52D178" w14:textId="77777777" w:rsidTr="0072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EB6A9F" w14:textId="77777777" w:rsidR="00E607B3" w:rsidRPr="004527CD" w:rsidRDefault="00E607B3" w:rsidP="00727561">
            <w:pPr>
              <w:spacing w:line="276" w:lineRule="auto"/>
              <w:jc w:val="both"/>
              <w:rPr>
                <w:rFonts w:ascii="Calibri" w:eastAsia="Calibri" w:hAnsi="Calibri"/>
                <w:color w:val="3B3838" w:themeColor="background2" w:themeShade="40"/>
                <w:sz w:val="20"/>
                <w:szCs w:val="20"/>
                <w:lang w:eastAsia="es-MX"/>
              </w:rPr>
            </w:pPr>
            <w:r w:rsidRPr="004527CD">
              <w:rPr>
                <w:rFonts w:ascii="Calibri" w:eastAsia="Calibri" w:hAnsi="Calibri"/>
                <w:color w:val="3B3838" w:themeColor="background2" w:themeShade="40"/>
                <w:sz w:val="20"/>
                <w:szCs w:val="20"/>
                <w:lang w:eastAsia="es-MX"/>
              </w:rPr>
              <w:lastRenderedPageBreak/>
              <w:t>2.2.2. Oportunidades.</w:t>
            </w:r>
          </w:p>
          <w:p w14:paraId="5766475A" w14:textId="77777777" w:rsidR="00727561" w:rsidRPr="00727561" w:rsidRDefault="00727561" w:rsidP="001324B2">
            <w:pPr>
              <w:pStyle w:val="Prrafodelista"/>
              <w:numPr>
                <w:ilvl w:val="0"/>
                <w:numId w:val="4"/>
              </w:numPr>
              <w:spacing w:before="120" w:after="120" w:line="276" w:lineRule="auto"/>
              <w:jc w:val="both"/>
              <w:rPr>
                <w:rFonts w:ascii="Calibri" w:eastAsia="Calibri" w:hAnsi="Calibri"/>
                <w:b w:val="0"/>
                <w:bCs w:val="0"/>
                <w:color w:val="3B3838" w:themeColor="background2" w:themeShade="40"/>
                <w:sz w:val="20"/>
              </w:rPr>
            </w:pPr>
            <w:r w:rsidRPr="00727561">
              <w:rPr>
                <w:rFonts w:ascii="Calibri" w:eastAsia="Calibri" w:hAnsi="Calibri"/>
                <w:b w:val="0"/>
                <w:bCs w:val="0"/>
                <w:color w:val="3B3838" w:themeColor="background2" w:themeShade="40"/>
                <w:sz w:val="20"/>
              </w:rPr>
              <w:t xml:space="preserve">Fortalecer la transversalidad: Integrar los proyectos del FAISMUN con otras políticas públicas municipales, como desarrollo económico, medio ambiente y género, para generar un mayor impacto y sinergias. </w:t>
            </w:r>
          </w:p>
          <w:p w14:paraId="09CC2FA0" w14:textId="77777777" w:rsidR="00727561" w:rsidRPr="00727561" w:rsidRDefault="00727561" w:rsidP="001324B2">
            <w:pPr>
              <w:pStyle w:val="Prrafodelista"/>
              <w:numPr>
                <w:ilvl w:val="0"/>
                <w:numId w:val="4"/>
              </w:numPr>
              <w:spacing w:before="120" w:after="120" w:line="276" w:lineRule="auto"/>
              <w:jc w:val="both"/>
              <w:rPr>
                <w:rFonts w:ascii="Calibri" w:eastAsia="Calibri" w:hAnsi="Calibri"/>
                <w:b w:val="0"/>
                <w:bCs w:val="0"/>
                <w:color w:val="3B3838" w:themeColor="background2" w:themeShade="40"/>
                <w:sz w:val="20"/>
              </w:rPr>
            </w:pPr>
            <w:r w:rsidRPr="00727561">
              <w:rPr>
                <w:rFonts w:ascii="Calibri" w:eastAsia="Calibri" w:hAnsi="Calibri"/>
                <w:b w:val="0"/>
                <w:bCs w:val="0"/>
                <w:color w:val="3B3838" w:themeColor="background2" w:themeShade="40"/>
                <w:sz w:val="20"/>
              </w:rPr>
              <w:t xml:space="preserve">Promover la innovación: Fomentar la incorporación de tecnologías y soluciones innovadoras en los proyectos, buscando mejorar la eficiencia y la sostenibilidad de las intervenciones. </w:t>
            </w:r>
          </w:p>
          <w:p w14:paraId="794BBE20" w14:textId="77777777" w:rsidR="00727561" w:rsidRPr="00727561" w:rsidRDefault="00727561" w:rsidP="001324B2">
            <w:pPr>
              <w:pStyle w:val="Prrafodelista"/>
              <w:numPr>
                <w:ilvl w:val="0"/>
                <w:numId w:val="4"/>
              </w:numPr>
              <w:spacing w:before="120" w:after="120" w:line="276" w:lineRule="auto"/>
              <w:jc w:val="both"/>
              <w:rPr>
                <w:rFonts w:ascii="Calibri" w:eastAsia="Calibri" w:hAnsi="Calibri"/>
                <w:b w:val="0"/>
                <w:bCs w:val="0"/>
                <w:color w:val="3B3838" w:themeColor="background2" w:themeShade="40"/>
                <w:sz w:val="20"/>
              </w:rPr>
            </w:pPr>
            <w:r w:rsidRPr="00727561">
              <w:rPr>
                <w:rFonts w:ascii="Calibri" w:eastAsia="Calibri" w:hAnsi="Calibri"/>
                <w:b w:val="0"/>
                <w:bCs w:val="0"/>
                <w:color w:val="3B3838" w:themeColor="background2" w:themeShade="40"/>
                <w:sz w:val="20"/>
              </w:rPr>
              <w:t xml:space="preserve">Establecer alianzas estratégicas: Buscar alianzas con el sector privado, organizaciones de la sociedad civil y otras instituciones gubernamentales para ampliar la cobertura y el impacto de los proyectos. </w:t>
            </w:r>
          </w:p>
          <w:p w14:paraId="69C9C9E2" w14:textId="77777777" w:rsidR="00E607B3" w:rsidRPr="00727561" w:rsidRDefault="00727561" w:rsidP="001324B2">
            <w:pPr>
              <w:pStyle w:val="Prrafodelista"/>
              <w:numPr>
                <w:ilvl w:val="0"/>
                <w:numId w:val="4"/>
              </w:numPr>
              <w:spacing w:before="120" w:after="120" w:line="276" w:lineRule="auto"/>
              <w:jc w:val="both"/>
              <w:rPr>
                <w:rFonts w:ascii="Calibri" w:eastAsia="Calibri" w:hAnsi="Calibri"/>
                <w:color w:val="3B3838" w:themeColor="background2" w:themeShade="40"/>
                <w:sz w:val="20"/>
              </w:rPr>
            </w:pPr>
            <w:r w:rsidRPr="00727561">
              <w:rPr>
                <w:rFonts w:ascii="Calibri" w:eastAsia="Calibri" w:hAnsi="Calibri"/>
                <w:b w:val="0"/>
                <w:bCs w:val="0"/>
                <w:color w:val="3B3838" w:themeColor="background2" w:themeShade="40"/>
                <w:sz w:val="20"/>
              </w:rPr>
              <w:t xml:space="preserve">Implementar un sistema de gestión de conocimiento: Crear un sistema para documentar las experiencias, lecciones aprendidas y mejores prácticas, con el fin de mejorar continuamente la gestión del </w:t>
            </w:r>
            <w:r w:rsidR="003543A9" w:rsidRPr="003543A9">
              <w:rPr>
                <w:rFonts w:ascii="Calibri" w:eastAsia="Calibri" w:hAnsi="Calibri"/>
                <w:b w:val="0"/>
                <w:bCs w:val="0"/>
                <w:color w:val="3B3838" w:themeColor="background2" w:themeShade="40"/>
                <w:sz w:val="20"/>
              </w:rPr>
              <w:t>FORTAMUN</w:t>
            </w:r>
          </w:p>
        </w:tc>
      </w:tr>
      <w:tr w:rsidR="00E607B3" w:rsidRPr="0003342C" w14:paraId="757CE342" w14:textId="77777777" w:rsidTr="00727561">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3AD7C9" w14:textId="77777777" w:rsidR="00727561" w:rsidRPr="00727561" w:rsidRDefault="00E607B3" w:rsidP="00727561">
            <w:pPr>
              <w:pStyle w:val="NormalWeb"/>
            </w:pPr>
            <w:r w:rsidRPr="004527CD">
              <w:rPr>
                <w:rFonts w:ascii="Calibri" w:eastAsia="Calibri" w:hAnsi="Calibri"/>
                <w:color w:val="3B3838" w:themeColor="background2" w:themeShade="40"/>
                <w:sz w:val="20"/>
                <w:szCs w:val="20"/>
              </w:rPr>
              <w:t>2.2.3. Debilidades.</w:t>
            </w:r>
            <w:r w:rsidR="00727561">
              <w:t xml:space="preserve"> </w:t>
            </w:r>
          </w:p>
          <w:p w14:paraId="05752924" w14:textId="77777777" w:rsidR="003543A9" w:rsidRPr="003543A9" w:rsidRDefault="003543A9" w:rsidP="001324B2">
            <w:pPr>
              <w:pStyle w:val="Prrafodelista"/>
              <w:numPr>
                <w:ilvl w:val="0"/>
                <w:numId w:val="4"/>
              </w:numPr>
              <w:spacing w:before="120" w:after="120" w:line="276" w:lineRule="auto"/>
              <w:jc w:val="both"/>
              <w:rPr>
                <w:rFonts w:ascii="Calibri" w:eastAsia="Calibri" w:hAnsi="Calibri"/>
                <w:b w:val="0"/>
                <w:bCs w:val="0"/>
                <w:color w:val="3B3838" w:themeColor="background2" w:themeShade="40"/>
                <w:sz w:val="20"/>
              </w:rPr>
            </w:pPr>
            <w:r w:rsidRPr="003543A9">
              <w:rPr>
                <w:rFonts w:ascii="Calibri" w:eastAsia="Calibri" w:hAnsi="Calibri"/>
                <w:b w:val="0"/>
                <w:bCs w:val="0"/>
                <w:color w:val="3B3838" w:themeColor="background2" w:themeShade="40"/>
                <w:sz w:val="20"/>
              </w:rPr>
              <w:t xml:space="preserve">El FORTAMUN carece de un diagnóstico preciso y actualizado del problema que busca solucionar. No se ha identificado claramente la población afectada, las causas raíz del problema ni los plazos para su revisión. </w:t>
            </w:r>
          </w:p>
          <w:p w14:paraId="7AB80BF0" w14:textId="77777777" w:rsidR="003543A9" w:rsidRPr="003543A9" w:rsidRDefault="003543A9" w:rsidP="001324B2">
            <w:pPr>
              <w:pStyle w:val="Prrafodelista"/>
              <w:numPr>
                <w:ilvl w:val="0"/>
                <w:numId w:val="4"/>
              </w:numPr>
              <w:spacing w:before="120" w:after="120" w:line="276" w:lineRule="auto"/>
              <w:jc w:val="both"/>
              <w:rPr>
                <w:rFonts w:ascii="Calibri" w:eastAsia="Calibri" w:hAnsi="Calibri"/>
                <w:b w:val="0"/>
                <w:bCs w:val="0"/>
                <w:color w:val="3B3838" w:themeColor="background2" w:themeShade="40"/>
                <w:sz w:val="20"/>
              </w:rPr>
            </w:pPr>
            <w:r w:rsidRPr="003543A9">
              <w:rPr>
                <w:rFonts w:ascii="Calibri" w:eastAsia="Calibri" w:hAnsi="Calibri"/>
                <w:b w:val="0"/>
                <w:bCs w:val="0"/>
                <w:color w:val="3B3838" w:themeColor="background2" w:themeShade="40"/>
                <w:sz w:val="20"/>
              </w:rPr>
              <w:t xml:space="preserve">Si bien se tiene información sobre la problemática, falta un análisis profundo de sus causas, efectos y características, así como una cuantificación y ubicación geográfica de la población afectada. </w:t>
            </w:r>
          </w:p>
          <w:p w14:paraId="01AEE96E" w14:textId="77777777" w:rsidR="003543A9" w:rsidRPr="003543A9" w:rsidRDefault="003543A9" w:rsidP="001324B2">
            <w:pPr>
              <w:pStyle w:val="Prrafodelista"/>
              <w:numPr>
                <w:ilvl w:val="0"/>
                <w:numId w:val="4"/>
              </w:numPr>
              <w:spacing w:before="120" w:after="120" w:line="276" w:lineRule="auto"/>
              <w:jc w:val="both"/>
              <w:rPr>
                <w:rFonts w:ascii="Calibri" w:eastAsia="Calibri" w:hAnsi="Calibri"/>
                <w:b w:val="0"/>
                <w:bCs w:val="0"/>
                <w:color w:val="3B3838" w:themeColor="background2" w:themeShade="40"/>
                <w:sz w:val="20"/>
              </w:rPr>
            </w:pPr>
            <w:r w:rsidRPr="003543A9">
              <w:rPr>
                <w:rFonts w:ascii="Calibri" w:eastAsia="Calibri" w:hAnsi="Calibri"/>
                <w:b w:val="0"/>
                <w:bCs w:val="0"/>
                <w:color w:val="3B3838" w:themeColor="background2" w:themeShade="40"/>
                <w:sz w:val="20"/>
              </w:rPr>
              <w:t xml:space="preserve">Los beneficios generados por FORTAMUN no han sido evaluados de manera rigurosa para demostrar su superioridad frente a otras alternativas. </w:t>
            </w:r>
          </w:p>
          <w:p w14:paraId="2E3DE286" w14:textId="77777777" w:rsidR="003543A9" w:rsidRPr="003543A9" w:rsidRDefault="003543A9" w:rsidP="001324B2">
            <w:pPr>
              <w:pStyle w:val="Prrafodelista"/>
              <w:numPr>
                <w:ilvl w:val="0"/>
                <w:numId w:val="4"/>
              </w:numPr>
              <w:spacing w:before="120" w:after="120" w:line="276" w:lineRule="auto"/>
              <w:jc w:val="both"/>
              <w:rPr>
                <w:rFonts w:ascii="Calibri" w:eastAsia="Calibri" w:hAnsi="Calibri"/>
                <w:b w:val="0"/>
                <w:bCs w:val="0"/>
                <w:color w:val="3B3838" w:themeColor="background2" w:themeShade="40"/>
                <w:sz w:val="20"/>
              </w:rPr>
            </w:pPr>
            <w:r w:rsidRPr="003543A9">
              <w:rPr>
                <w:rFonts w:ascii="Calibri" w:eastAsia="Calibri" w:hAnsi="Calibri"/>
                <w:b w:val="0"/>
                <w:bCs w:val="0"/>
                <w:color w:val="3B3838" w:themeColor="background2" w:themeShade="40"/>
                <w:sz w:val="20"/>
              </w:rPr>
              <w:t xml:space="preserve">Los hallazgos y recomendaciones de las evaluaciones no se traducen en acciones concretas y oportunas. La falta de seguimiento y la resistencia al cambio impiden la mejora continua. </w:t>
            </w:r>
          </w:p>
          <w:p w14:paraId="1728060D" w14:textId="77777777" w:rsidR="003543A9" w:rsidRPr="003543A9" w:rsidRDefault="003543A9" w:rsidP="001324B2">
            <w:pPr>
              <w:pStyle w:val="Prrafodelista"/>
              <w:numPr>
                <w:ilvl w:val="0"/>
                <w:numId w:val="4"/>
              </w:numPr>
              <w:spacing w:before="120" w:after="120" w:line="276" w:lineRule="auto"/>
              <w:jc w:val="both"/>
              <w:rPr>
                <w:rFonts w:ascii="Calibri" w:eastAsia="Calibri" w:hAnsi="Calibri"/>
                <w:color w:val="3B3838" w:themeColor="background2" w:themeShade="40"/>
                <w:sz w:val="20"/>
              </w:rPr>
            </w:pPr>
            <w:r w:rsidRPr="003543A9">
              <w:rPr>
                <w:rFonts w:ascii="Calibri" w:eastAsia="Calibri" w:hAnsi="Calibri"/>
                <w:b w:val="0"/>
                <w:bCs w:val="0"/>
                <w:color w:val="3B3838" w:themeColor="background2" w:themeShade="40"/>
                <w:sz w:val="20"/>
              </w:rPr>
              <w:t>Los acuerdos de mejora no se están cumpliendo y la MIR municipal no está disponible para consulta pública.</w:t>
            </w:r>
          </w:p>
        </w:tc>
      </w:tr>
      <w:tr w:rsidR="00E607B3" w:rsidRPr="0003342C" w14:paraId="7EDE5B09" w14:textId="77777777" w:rsidTr="00727561">
        <w:trPr>
          <w:cnfStyle w:val="000000100000" w:firstRow="0" w:lastRow="0" w:firstColumn="0" w:lastColumn="0" w:oddVBand="0" w:evenVBand="0" w:oddHBand="1" w:evenHBand="0" w:firstRowFirstColumn="0" w:firstRowLastColumn="0" w:lastRowFirstColumn="0" w:lastRowLastColumn="0"/>
          <w:trHeight w:val="263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274034" w14:textId="77777777" w:rsidR="00E607B3" w:rsidRPr="004527CD" w:rsidRDefault="00E607B3" w:rsidP="00E607B3">
            <w:pPr>
              <w:pStyle w:val="Prrafodelista"/>
              <w:numPr>
                <w:ilvl w:val="2"/>
                <w:numId w:val="1"/>
              </w:numPr>
              <w:spacing w:line="276" w:lineRule="auto"/>
              <w:jc w:val="both"/>
              <w:rPr>
                <w:rFonts w:ascii="Calibri" w:eastAsia="Calibri" w:hAnsi="Calibri"/>
                <w:color w:val="3B3838" w:themeColor="background2" w:themeShade="40"/>
                <w:sz w:val="20"/>
              </w:rPr>
            </w:pPr>
            <w:r w:rsidRPr="004527CD">
              <w:rPr>
                <w:rFonts w:ascii="Calibri" w:eastAsia="Calibri" w:hAnsi="Calibri"/>
                <w:color w:val="3B3838" w:themeColor="background2" w:themeShade="40"/>
                <w:sz w:val="20"/>
                <w:lang w:eastAsia="es-MX"/>
              </w:rPr>
              <w:t>Amenazas.</w:t>
            </w:r>
            <w:r w:rsidRPr="004527CD">
              <w:rPr>
                <w:rFonts w:ascii="Calibri" w:eastAsia="Calibri" w:hAnsi="Calibri"/>
                <w:color w:val="3B3838" w:themeColor="background2" w:themeShade="40"/>
                <w:sz w:val="20"/>
              </w:rPr>
              <w:t xml:space="preserve"> </w:t>
            </w:r>
          </w:p>
          <w:p w14:paraId="23D6F404" w14:textId="77777777" w:rsidR="003543A9" w:rsidRPr="003543A9" w:rsidRDefault="003543A9" w:rsidP="001324B2">
            <w:pPr>
              <w:pStyle w:val="Prrafodelista"/>
              <w:numPr>
                <w:ilvl w:val="0"/>
                <w:numId w:val="4"/>
              </w:numPr>
              <w:spacing w:before="120" w:after="120" w:line="276" w:lineRule="auto"/>
              <w:jc w:val="both"/>
              <w:rPr>
                <w:rFonts w:ascii="Calibri" w:eastAsia="Calibri" w:hAnsi="Calibri"/>
                <w:b w:val="0"/>
                <w:bCs w:val="0"/>
                <w:color w:val="3B3838" w:themeColor="background2" w:themeShade="40"/>
                <w:sz w:val="20"/>
              </w:rPr>
            </w:pPr>
            <w:r w:rsidRPr="003543A9">
              <w:rPr>
                <w:rFonts w:ascii="Times New Roman" w:hAnsi="Times New Roman"/>
                <w:sz w:val="24"/>
                <w:lang w:eastAsia="es-MX"/>
              </w:rPr>
              <w:t xml:space="preserve"> </w:t>
            </w:r>
            <w:r w:rsidRPr="003543A9">
              <w:rPr>
                <w:rFonts w:ascii="Calibri" w:eastAsia="Calibri" w:hAnsi="Calibri"/>
                <w:b w:val="0"/>
                <w:bCs w:val="0"/>
                <w:color w:val="3B3838" w:themeColor="background2" w:themeShade="40"/>
                <w:sz w:val="20"/>
              </w:rPr>
              <w:t xml:space="preserve">Baja credibilidad institucional: La confianza de la sociedad en los programas municipales es baja debido a la percepción de resultados insatisfactorios en proyectos anteriores, lo que dificulta la aceptación y el éxito de nuevas iniciativas. </w:t>
            </w:r>
          </w:p>
          <w:p w14:paraId="085C113A" w14:textId="77777777" w:rsidR="003543A9" w:rsidRPr="003543A9" w:rsidRDefault="003543A9" w:rsidP="001324B2">
            <w:pPr>
              <w:pStyle w:val="Prrafodelista"/>
              <w:numPr>
                <w:ilvl w:val="0"/>
                <w:numId w:val="4"/>
              </w:numPr>
              <w:spacing w:before="120" w:after="120" w:line="276" w:lineRule="auto"/>
              <w:jc w:val="both"/>
              <w:rPr>
                <w:rFonts w:ascii="Calibri" w:eastAsia="Calibri" w:hAnsi="Calibri"/>
                <w:b w:val="0"/>
                <w:bCs w:val="0"/>
                <w:color w:val="3B3838" w:themeColor="background2" w:themeShade="40"/>
                <w:sz w:val="20"/>
              </w:rPr>
            </w:pPr>
            <w:r w:rsidRPr="003543A9">
              <w:rPr>
                <w:rFonts w:ascii="Calibri" w:eastAsia="Calibri" w:hAnsi="Calibri"/>
                <w:b w:val="0"/>
                <w:bCs w:val="0"/>
                <w:color w:val="3B3838" w:themeColor="background2" w:themeShade="40"/>
                <w:sz w:val="20"/>
              </w:rPr>
              <w:t xml:space="preserve">Necesidades infraestructurales crecientes: La creciente demanda de servicios públicos básicos, como agua potable, alcantarillado y vías de comunicación, supera la capacidad actual de la infraestructura municipal. </w:t>
            </w:r>
          </w:p>
          <w:p w14:paraId="4F0D9465" w14:textId="77777777" w:rsidR="003543A9" w:rsidRPr="003543A9" w:rsidRDefault="003543A9" w:rsidP="001324B2">
            <w:pPr>
              <w:pStyle w:val="Prrafodelista"/>
              <w:numPr>
                <w:ilvl w:val="0"/>
                <w:numId w:val="4"/>
              </w:numPr>
              <w:spacing w:before="120" w:after="120" w:line="276" w:lineRule="auto"/>
              <w:jc w:val="both"/>
              <w:rPr>
                <w:rFonts w:ascii="Calibri" w:eastAsia="Calibri" w:hAnsi="Calibri"/>
                <w:b w:val="0"/>
                <w:bCs w:val="0"/>
                <w:color w:val="3B3838" w:themeColor="background2" w:themeShade="40"/>
                <w:sz w:val="20"/>
              </w:rPr>
            </w:pPr>
            <w:r w:rsidRPr="003543A9">
              <w:rPr>
                <w:rFonts w:ascii="Calibri" w:eastAsia="Calibri" w:hAnsi="Calibri"/>
                <w:b w:val="0"/>
                <w:bCs w:val="0"/>
                <w:color w:val="3B3838" w:themeColor="background2" w:themeShade="40"/>
                <w:sz w:val="20"/>
              </w:rPr>
              <w:t xml:space="preserve">Débil compromiso con la mejora continua: El municipio no muestra un interés sostenido en identificar y corregir las deficiencias en la gestión de los recursos públicos, lo que limita la optimización de los resultados. </w:t>
            </w:r>
          </w:p>
          <w:p w14:paraId="5702B49E" w14:textId="77777777" w:rsidR="00B24B9A" w:rsidRPr="003543A9" w:rsidRDefault="003543A9" w:rsidP="001324B2">
            <w:pPr>
              <w:pStyle w:val="Prrafodelista"/>
              <w:numPr>
                <w:ilvl w:val="0"/>
                <w:numId w:val="4"/>
              </w:numPr>
              <w:spacing w:before="120" w:after="120" w:line="276" w:lineRule="auto"/>
              <w:jc w:val="both"/>
              <w:rPr>
                <w:rFonts w:ascii="Calibri" w:eastAsia="Calibri" w:hAnsi="Calibri"/>
                <w:b w:val="0"/>
                <w:bCs w:val="0"/>
                <w:color w:val="3B3838" w:themeColor="background2" w:themeShade="40"/>
                <w:sz w:val="20"/>
              </w:rPr>
            </w:pPr>
            <w:r w:rsidRPr="003543A9">
              <w:rPr>
                <w:rFonts w:ascii="Calibri" w:eastAsia="Calibri" w:hAnsi="Calibri"/>
                <w:b w:val="0"/>
                <w:bCs w:val="0"/>
                <w:color w:val="3B3838" w:themeColor="background2" w:themeShade="40"/>
                <w:sz w:val="20"/>
              </w:rPr>
              <w:lastRenderedPageBreak/>
              <w:t>Ausencia de mecanismos de evaluación de la satisfacción ciudadana: La falta de instrumentos para medir la satisfacción de los beneficiarios impide conocer su percepción sobre los proyectos y realizar ajustes oportunos.</w:t>
            </w:r>
            <w:r w:rsidR="00B24B9A" w:rsidRPr="003543A9">
              <w:rPr>
                <w:rFonts w:ascii="Calibri" w:eastAsia="Calibri" w:hAnsi="Calibri"/>
                <w:b w:val="0"/>
                <w:bCs w:val="0"/>
                <w:color w:val="3B3838" w:themeColor="background2" w:themeShade="40"/>
                <w:sz w:val="20"/>
              </w:rPr>
              <w:t>.</w:t>
            </w:r>
          </w:p>
          <w:p w14:paraId="1DD7E7A5" w14:textId="77777777" w:rsidR="00B24B9A" w:rsidRPr="004527CD" w:rsidRDefault="00B24B9A" w:rsidP="00B24B9A">
            <w:pPr>
              <w:pStyle w:val="Prrafodelista"/>
              <w:spacing w:line="276" w:lineRule="auto"/>
              <w:contextualSpacing w:val="0"/>
              <w:jc w:val="both"/>
              <w:rPr>
                <w:rFonts w:ascii="Calibri" w:eastAsia="Calibri" w:hAnsi="Calibri"/>
                <w:b w:val="0"/>
                <w:bCs w:val="0"/>
                <w:color w:val="3B3838" w:themeColor="background2" w:themeShade="40"/>
                <w:sz w:val="20"/>
                <w:lang w:eastAsia="es-MX"/>
              </w:rPr>
            </w:pPr>
          </w:p>
        </w:tc>
      </w:tr>
      <w:tr w:rsidR="00E607B3" w:rsidRPr="0003342C" w14:paraId="3C247222" w14:textId="77777777" w:rsidTr="00727561">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576E05" w14:textId="77777777" w:rsidR="00E607B3" w:rsidRPr="004527CD" w:rsidRDefault="00E607B3" w:rsidP="00727561">
            <w:pPr>
              <w:spacing w:line="276" w:lineRule="auto"/>
              <w:jc w:val="both"/>
              <w:rPr>
                <w:rFonts w:ascii="Calibri" w:eastAsia="Calibri" w:hAnsi="Calibri"/>
                <w:color w:val="3B3838" w:themeColor="background2" w:themeShade="40"/>
                <w:sz w:val="20"/>
                <w:szCs w:val="20"/>
                <w:lang w:eastAsia="es-MX"/>
              </w:rPr>
            </w:pPr>
            <w:r w:rsidRPr="004527CD">
              <w:rPr>
                <w:rFonts w:ascii="Calibri" w:eastAsia="Calibri" w:hAnsi="Calibri"/>
                <w:color w:val="3B3838" w:themeColor="background2" w:themeShade="40"/>
                <w:sz w:val="20"/>
                <w:szCs w:val="20"/>
                <w:lang w:eastAsia="es-MX"/>
              </w:rPr>
              <w:lastRenderedPageBreak/>
              <w:t>3. CONCLUSIONES Y RECOMENDACIONES DE LA EVALACIÓN.</w:t>
            </w:r>
          </w:p>
        </w:tc>
      </w:tr>
      <w:tr w:rsidR="00E607B3" w:rsidRPr="0003342C" w14:paraId="63338665" w14:textId="77777777" w:rsidTr="0072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3B64A8" w14:textId="77777777" w:rsidR="00E607B3" w:rsidRPr="002665D5" w:rsidRDefault="00E607B3" w:rsidP="002665D5">
            <w:pPr>
              <w:spacing w:line="276" w:lineRule="auto"/>
              <w:jc w:val="both"/>
              <w:rPr>
                <w:rFonts w:ascii="Calibri" w:eastAsia="Calibri" w:hAnsi="Calibri"/>
                <w:color w:val="3B3838" w:themeColor="background2" w:themeShade="40"/>
                <w:sz w:val="20"/>
              </w:rPr>
            </w:pPr>
            <w:r w:rsidRPr="002665D5">
              <w:rPr>
                <w:rFonts w:ascii="Calibri" w:eastAsia="Calibri" w:hAnsi="Calibri"/>
                <w:color w:val="3B3838" w:themeColor="background2" w:themeShade="40"/>
                <w:sz w:val="20"/>
              </w:rPr>
              <w:t>3.1. Describir brevemente las conclusiones de la evaluación.</w:t>
            </w:r>
          </w:p>
          <w:p w14:paraId="4A9166DC" w14:textId="77777777" w:rsidR="002665D5" w:rsidRPr="002665D5" w:rsidRDefault="002665D5" w:rsidP="001324B2">
            <w:pPr>
              <w:pStyle w:val="Prrafodelista"/>
              <w:numPr>
                <w:ilvl w:val="0"/>
                <w:numId w:val="3"/>
              </w:numPr>
              <w:jc w:val="both"/>
              <w:rPr>
                <w:rFonts w:ascii="Calibri" w:eastAsia="Calibri" w:hAnsi="Calibri"/>
                <w:b w:val="0"/>
                <w:bCs w:val="0"/>
                <w:color w:val="3B3838" w:themeColor="background2" w:themeShade="40"/>
                <w:sz w:val="20"/>
              </w:rPr>
            </w:pPr>
            <w:r w:rsidRPr="002665D5">
              <w:rPr>
                <w:rFonts w:ascii="Calibri" w:eastAsia="Calibri" w:hAnsi="Calibri"/>
                <w:color w:val="3B3838" w:themeColor="background2" w:themeShade="40"/>
                <w:sz w:val="20"/>
              </w:rPr>
              <w:t>Diseño</w:t>
            </w:r>
            <w:r w:rsidRPr="002665D5">
              <w:rPr>
                <w:rFonts w:ascii="Calibri" w:eastAsia="Calibri" w:hAnsi="Calibri"/>
                <w:b w:val="0"/>
                <w:bCs w:val="0"/>
                <w:color w:val="3B3838" w:themeColor="background2" w:themeShade="40"/>
                <w:sz w:val="20"/>
              </w:rPr>
              <w:t xml:space="preserve">: </w:t>
            </w:r>
            <w:r w:rsidR="003543A9" w:rsidRPr="003543A9">
              <w:rPr>
                <w:rFonts w:ascii="Calibri" w:eastAsia="Calibri" w:hAnsi="Calibri"/>
                <w:b w:val="0"/>
                <w:bCs w:val="0"/>
                <w:color w:val="3B3838" w:themeColor="background2" w:themeShade="40"/>
                <w:sz w:val="20"/>
              </w:rPr>
              <w:t>Los resultados de la evaluación indican un cumplimiento parcial de los criterios establecidos, alcanzando un puntaje de 101 puntos de un total de 140 posibles. Si bien se obtuvo una base sólida, existen áreas de oportunidad para mejorar la vinculación con el plan municipal, personalizar los indicadores y fomentar una mayor participación ciudadana en el proceso.</w:t>
            </w:r>
          </w:p>
          <w:p w14:paraId="4723D9FE" w14:textId="77777777" w:rsidR="001324B2" w:rsidRPr="001324B2" w:rsidRDefault="002665D5" w:rsidP="001324B2">
            <w:pPr>
              <w:pStyle w:val="Prrafodelista"/>
              <w:numPr>
                <w:ilvl w:val="0"/>
                <w:numId w:val="3"/>
              </w:numPr>
              <w:jc w:val="both"/>
              <w:rPr>
                <w:rFonts w:ascii="Calibri" w:eastAsia="Calibri" w:hAnsi="Calibri"/>
                <w:b w:val="0"/>
                <w:bCs w:val="0"/>
                <w:color w:val="3B3838" w:themeColor="background2" w:themeShade="40"/>
                <w:sz w:val="20"/>
              </w:rPr>
            </w:pPr>
            <w:r w:rsidRPr="002665D5">
              <w:rPr>
                <w:rFonts w:ascii="Calibri" w:eastAsia="Calibri" w:hAnsi="Calibri"/>
                <w:color w:val="3B3838" w:themeColor="background2" w:themeShade="40"/>
                <w:sz w:val="20"/>
              </w:rPr>
              <w:t>Planeación y Orientación a Resultados</w:t>
            </w:r>
            <w:r w:rsidRPr="002665D5">
              <w:rPr>
                <w:rFonts w:ascii="Calibri" w:eastAsia="Calibri" w:hAnsi="Calibri"/>
                <w:b w:val="0"/>
                <w:bCs w:val="0"/>
                <w:color w:val="3B3838" w:themeColor="background2" w:themeShade="40"/>
                <w:sz w:val="20"/>
              </w:rPr>
              <w:t xml:space="preserve">: </w:t>
            </w:r>
            <w:r w:rsidR="003543A9" w:rsidRPr="003543A9">
              <w:rPr>
                <w:rFonts w:ascii="Calibri" w:eastAsia="Calibri" w:hAnsi="Calibri"/>
                <w:b w:val="0"/>
                <w:bCs w:val="0"/>
                <w:color w:val="3B3838" w:themeColor="background2" w:themeShade="40"/>
                <w:sz w:val="20"/>
              </w:rPr>
              <w:t xml:space="preserve">La evaluación del cumplimiento de los lineamientos federales en la planificación de los proyectos del </w:t>
            </w:r>
            <w:proofErr w:type="spellStart"/>
            <w:r w:rsidR="003543A9" w:rsidRPr="003543A9">
              <w:rPr>
                <w:rFonts w:ascii="Calibri" w:eastAsia="Calibri" w:hAnsi="Calibri"/>
                <w:b w:val="0"/>
                <w:bCs w:val="0"/>
                <w:color w:val="3B3838" w:themeColor="background2" w:themeShade="40"/>
                <w:sz w:val="20"/>
              </w:rPr>
              <w:t>Fortamun</w:t>
            </w:r>
            <w:proofErr w:type="spellEnd"/>
            <w:r w:rsidR="003543A9" w:rsidRPr="003543A9">
              <w:rPr>
                <w:rFonts w:ascii="Calibri" w:eastAsia="Calibri" w:hAnsi="Calibri"/>
                <w:b w:val="0"/>
                <w:bCs w:val="0"/>
                <w:color w:val="3B3838" w:themeColor="background2" w:themeShade="40"/>
                <w:sz w:val="20"/>
              </w:rPr>
              <w:t xml:space="preserve"> en el municipio de Calkiní arrojó un resultado positivo, alcanzando un 70.83% en los criterios evaluados. El uso adecuado del Manual de Usuario y el apego al catálogo del Fondo demuestran un esfuerzo por garantizar que los recursos se destinen a proyectos pertinentes y alineados con las políticas públicas nacionales.</w:t>
            </w:r>
            <w:r w:rsidRPr="002665D5">
              <w:rPr>
                <w:rFonts w:ascii="Calibri" w:eastAsia="Calibri" w:hAnsi="Calibri"/>
                <w:b w:val="0"/>
                <w:bCs w:val="0"/>
                <w:color w:val="3B3838" w:themeColor="background2" w:themeShade="40"/>
                <w:sz w:val="20"/>
              </w:rPr>
              <w:t>.</w:t>
            </w:r>
          </w:p>
          <w:p w14:paraId="456EB778" w14:textId="77777777" w:rsidR="003543A9" w:rsidRPr="001324B2" w:rsidRDefault="002665D5" w:rsidP="001324B2">
            <w:pPr>
              <w:pStyle w:val="Prrafodelista"/>
              <w:numPr>
                <w:ilvl w:val="0"/>
                <w:numId w:val="3"/>
              </w:numPr>
              <w:jc w:val="both"/>
              <w:rPr>
                <w:rFonts w:ascii="Calibri" w:eastAsia="Calibri" w:hAnsi="Calibri"/>
                <w:b w:val="0"/>
                <w:bCs w:val="0"/>
                <w:color w:val="3B3838" w:themeColor="background2" w:themeShade="40"/>
                <w:sz w:val="20"/>
              </w:rPr>
            </w:pPr>
            <w:r w:rsidRPr="003543A9">
              <w:rPr>
                <w:rFonts w:ascii="Calibri" w:eastAsia="Calibri" w:hAnsi="Calibri"/>
                <w:color w:val="3B3838" w:themeColor="background2" w:themeShade="40"/>
                <w:sz w:val="20"/>
              </w:rPr>
              <w:t xml:space="preserve">Cobertura y Focalización: </w:t>
            </w:r>
            <w:r w:rsidR="003543A9" w:rsidRPr="003543A9">
              <w:rPr>
                <w:rFonts w:ascii="Times New Roman" w:hAnsi="Times New Roman"/>
                <w:sz w:val="24"/>
                <w:lang w:eastAsia="es-MX"/>
              </w:rPr>
              <w:t xml:space="preserve"> </w:t>
            </w:r>
            <w:r w:rsidR="003543A9" w:rsidRPr="001324B2">
              <w:rPr>
                <w:rFonts w:ascii="Calibri" w:eastAsia="Calibri" w:hAnsi="Calibri"/>
                <w:b w:val="0"/>
                <w:bCs w:val="0"/>
                <w:color w:val="3B3838" w:themeColor="background2" w:themeShade="40"/>
                <w:sz w:val="20"/>
              </w:rPr>
              <w:t xml:space="preserve">Aunque se alcanzó el máximo puntaje en el indicador cuantitativo evaluado, es necesario profundizar en el análisis cualitativo del programa FORTAMUN. La identificación precisa de la población objetivo y la justificación de la asignación de recursos son elementos clave para garantizar la eficacia y eficiencia del programa. Se recomienda fomentar la participación activa de los beneficiarios en todas las etapas del ciclo de proyecto, desde la identificación de necesidades hasta la evaluación de resultados. </w:t>
            </w:r>
          </w:p>
          <w:p w14:paraId="43815A66" w14:textId="77777777" w:rsidR="002665D5" w:rsidRPr="002665D5" w:rsidRDefault="003543A9" w:rsidP="001324B2">
            <w:pPr>
              <w:pStyle w:val="Prrafodelista"/>
              <w:jc w:val="both"/>
              <w:rPr>
                <w:rFonts w:ascii="Calibri" w:eastAsia="Calibri" w:hAnsi="Calibri"/>
                <w:b w:val="0"/>
                <w:bCs w:val="0"/>
                <w:color w:val="3B3838" w:themeColor="background2" w:themeShade="40"/>
                <w:sz w:val="20"/>
              </w:rPr>
            </w:pPr>
            <w:r w:rsidRPr="001324B2">
              <w:rPr>
                <w:rFonts w:ascii="Calibri" w:eastAsia="Calibri" w:hAnsi="Calibri"/>
                <w:b w:val="0"/>
                <w:bCs w:val="0"/>
                <w:color w:val="3B3838" w:themeColor="background2" w:themeShade="40"/>
                <w:sz w:val="20"/>
              </w:rPr>
              <w:t>La ausencia de una estrategia de cobertura específica representa una oportunidad de mejora. Es fundamental desarrollar una estrategia a mediano y largo plazo que defina claramente la población objetivo, establezca metas de cobertura anuales y se encuentre alineada con la Ley de Planeación estatal y el diseño del fondo.</w:t>
            </w:r>
          </w:p>
          <w:p w14:paraId="5475D2CB" w14:textId="77777777" w:rsidR="002665D5" w:rsidRPr="002665D5" w:rsidRDefault="002665D5" w:rsidP="001324B2">
            <w:pPr>
              <w:pStyle w:val="Prrafodelista"/>
              <w:numPr>
                <w:ilvl w:val="0"/>
                <w:numId w:val="3"/>
              </w:numPr>
              <w:jc w:val="both"/>
              <w:rPr>
                <w:rFonts w:ascii="Calibri" w:eastAsia="Calibri" w:hAnsi="Calibri"/>
                <w:b w:val="0"/>
                <w:bCs w:val="0"/>
                <w:color w:val="3B3838" w:themeColor="background2" w:themeShade="40"/>
                <w:sz w:val="20"/>
              </w:rPr>
            </w:pPr>
            <w:r w:rsidRPr="002665D5">
              <w:rPr>
                <w:rFonts w:ascii="Calibri" w:eastAsia="Calibri" w:hAnsi="Calibri"/>
                <w:color w:val="3B3838" w:themeColor="background2" w:themeShade="40"/>
                <w:sz w:val="20"/>
              </w:rPr>
              <w:t>Operación del programa:</w:t>
            </w:r>
            <w:r w:rsidRPr="002665D5">
              <w:rPr>
                <w:rFonts w:ascii="Calibri" w:eastAsia="Calibri" w:hAnsi="Calibri"/>
                <w:b w:val="0"/>
                <w:bCs w:val="0"/>
                <w:color w:val="3B3838" w:themeColor="background2" w:themeShade="40"/>
                <w:sz w:val="20"/>
              </w:rPr>
              <w:t xml:space="preserve"> </w:t>
            </w:r>
            <w:r w:rsidR="001324B2" w:rsidRPr="001324B2">
              <w:rPr>
                <w:rFonts w:ascii="Calibri" w:eastAsia="Calibri" w:hAnsi="Calibri"/>
                <w:b w:val="0"/>
                <w:bCs w:val="0"/>
                <w:color w:val="3B3838" w:themeColor="background2" w:themeShade="40"/>
                <w:sz w:val="20"/>
              </w:rPr>
              <w:t>Los resultados de la evaluación indican un cumplimiento aceptable</w:t>
            </w:r>
            <w:r w:rsidR="001324B2">
              <w:rPr>
                <w:rFonts w:ascii="Calibri" w:eastAsia="Calibri" w:hAnsi="Calibri"/>
                <w:b w:val="0"/>
                <w:bCs w:val="0"/>
                <w:color w:val="3B3838" w:themeColor="background2" w:themeShade="40"/>
                <w:sz w:val="20"/>
              </w:rPr>
              <w:t xml:space="preserve"> de un 79.17%</w:t>
            </w:r>
            <w:r w:rsidR="001324B2" w:rsidRPr="001324B2">
              <w:rPr>
                <w:rFonts w:ascii="Calibri" w:eastAsia="Calibri" w:hAnsi="Calibri"/>
                <w:b w:val="0"/>
                <w:bCs w:val="0"/>
                <w:color w:val="3B3838" w:themeColor="background2" w:themeShade="40"/>
                <w:sz w:val="20"/>
              </w:rPr>
              <w:t xml:space="preserve"> en las preguntas cuantitativas relacionadas con la operación del FORTAMUN. Sin embargo, se han identificado áreas de oportunidad para mejorar la eficiencia y eficacia en la ejecución del fondo. La ausencia de un Manual de Procedimientos estandarizado y la falta de capacitación especializada del personal involucrado limitan la optimización de los procesos y pueden generar inconsistencias en la aplicación de los criterios</w:t>
            </w:r>
            <w:r w:rsidRPr="002665D5">
              <w:rPr>
                <w:rFonts w:ascii="Calibri" w:eastAsia="Calibri" w:hAnsi="Calibri"/>
                <w:b w:val="0"/>
                <w:bCs w:val="0"/>
                <w:color w:val="3B3838" w:themeColor="background2" w:themeShade="40"/>
                <w:sz w:val="20"/>
              </w:rPr>
              <w:t xml:space="preserve">. </w:t>
            </w:r>
          </w:p>
          <w:p w14:paraId="4724AA7C" w14:textId="77777777" w:rsidR="00E607B3" w:rsidRDefault="002665D5" w:rsidP="001324B2">
            <w:pPr>
              <w:pStyle w:val="Prrafodelista"/>
              <w:numPr>
                <w:ilvl w:val="0"/>
                <w:numId w:val="3"/>
              </w:numPr>
              <w:spacing w:line="276" w:lineRule="auto"/>
              <w:jc w:val="both"/>
              <w:rPr>
                <w:rFonts w:ascii="Calibri" w:eastAsia="Calibri" w:hAnsi="Calibri"/>
                <w:color w:val="3B3838" w:themeColor="background2" w:themeShade="40"/>
                <w:sz w:val="20"/>
              </w:rPr>
            </w:pPr>
            <w:r w:rsidRPr="002665D5">
              <w:rPr>
                <w:rFonts w:ascii="Calibri" w:eastAsia="Calibri" w:hAnsi="Calibri"/>
                <w:color w:val="3B3838" w:themeColor="background2" w:themeShade="40"/>
                <w:sz w:val="20"/>
              </w:rPr>
              <w:t>Percepción de la Población Atendida</w:t>
            </w:r>
            <w:r w:rsidRPr="002665D5">
              <w:rPr>
                <w:rFonts w:ascii="Calibri" w:eastAsia="Calibri" w:hAnsi="Calibri"/>
                <w:b w:val="0"/>
                <w:bCs w:val="0"/>
                <w:color w:val="3B3838" w:themeColor="background2" w:themeShade="40"/>
                <w:sz w:val="20"/>
              </w:rPr>
              <w:t xml:space="preserve">: </w:t>
            </w:r>
            <w:r w:rsidR="001324B2" w:rsidRPr="001324B2">
              <w:rPr>
                <w:rFonts w:ascii="Calibri" w:eastAsia="Calibri" w:hAnsi="Calibri"/>
                <w:b w:val="0"/>
                <w:bCs w:val="0"/>
                <w:color w:val="3B3838" w:themeColor="background2" w:themeShade="40"/>
                <w:sz w:val="20"/>
              </w:rPr>
              <w:t>Si bien se logró el 100% de cumplimiento en un indicador, la prioridad dada al pago de deuda y la adquisición de insumos para seguridad pública limitó la evaluación de proyectos. La falta de una encuesta específica para medir el impacto del alumbrado público en la percepción de seguridad representa una oportunidad perdida. Para futuras evaluaciones, es crucial diseñar instrumentos de medición que permitan conocer la opinión de los ciudadanos</w:t>
            </w:r>
            <w:r w:rsidR="001324B2">
              <w:rPr>
                <w:rFonts w:ascii="Calibri" w:eastAsia="Calibri" w:hAnsi="Calibri"/>
                <w:b w:val="0"/>
                <w:bCs w:val="0"/>
                <w:color w:val="3B3838" w:themeColor="background2" w:themeShade="40"/>
                <w:sz w:val="20"/>
              </w:rPr>
              <w:t>.</w:t>
            </w:r>
          </w:p>
          <w:p w14:paraId="64AD30BC" w14:textId="77777777" w:rsidR="001324B2" w:rsidRPr="002665D5" w:rsidRDefault="001324B2" w:rsidP="001324B2">
            <w:pPr>
              <w:pStyle w:val="Prrafodelista"/>
              <w:numPr>
                <w:ilvl w:val="0"/>
                <w:numId w:val="3"/>
              </w:numPr>
              <w:spacing w:line="276" w:lineRule="auto"/>
              <w:jc w:val="both"/>
              <w:rPr>
                <w:rFonts w:ascii="Calibri" w:eastAsia="Calibri" w:hAnsi="Calibri"/>
                <w:color w:val="3B3838" w:themeColor="background2" w:themeShade="40"/>
                <w:sz w:val="20"/>
              </w:rPr>
            </w:pPr>
            <w:r w:rsidRPr="001324B2">
              <w:rPr>
                <w:rFonts w:ascii="Calibri" w:eastAsia="Calibri" w:hAnsi="Calibri"/>
                <w:color w:val="3B3838" w:themeColor="background2" w:themeShade="40"/>
                <w:sz w:val="20"/>
              </w:rPr>
              <w:t>En resumen,</w:t>
            </w:r>
            <w:r w:rsidRPr="001324B2">
              <w:rPr>
                <w:rFonts w:ascii="Calibri" w:eastAsia="Calibri" w:hAnsi="Calibri"/>
                <w:b w:val="0"/>
                <w:bCs w:val="0"/>
                <w:color w:val="3B3838" w:themeColor="background2" w:themeShade="40"/>
                <w:sz w:val="20"/>
              </w:rPr>
              <w:t xml:space="preserve"> la evaluación del programa FORTAMUN ha identificado tanto fortalezas como áreas de oportunidad. Para mejorar la eficacia y eficiencia del programa, es necesario fortalecer los procesos de gestión, ampliar la evaluación, fomentar la participación ciudadana y desarrollar una estrategia de cobertura más sólida</w:t>
            </w:r>
          </w:p>
        </w:tc>
      </w:tr>
      <w:tr w:rsidR="00E607B3" w:rsidRPr="0003342C" w14:paraId="42EB785B" w14:textId="77777777" w:rsidTr="00727561">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B7B253" w14:textId="77777777" w:rsidR="00E607B3" w:rsidRPr="003543A9" w:rsidRDefault="00E607B3" w:rsidP="002665D5">
            <w:pPr>
              <w:spacing w:line="276" w:lineRule="auto"/>
              <w:jc w:val="both"/>
              <w:rPr>
                <w:rFonts w:asciiTheme="minorHAnsi" w:eastAsia="Calibri" w:hAnsiTheme="minorHAnsi" w:cstheme="minorHAnsi"/>
                <w:b w:val="0"/>
                <w:bCs w:val="0"/>
                <w:color w:val="3B3838" w:themeColor="background2" w:themeShade="40"/>
                <w:sz w:val="20"/>
                <w:szCs w:val="20"/>
                <w:lang w:val="es-ES_tradnl" w:eastAsia="es-ES"/>
              </w:rPr>
            </w:pPr>
            <w:r w:rsidRPr="00727561">
              <w:rPr>
                <w:rFonts w:asciiTheme="minorHAnsi" w:eastAsia="Calibri" w:hAnsiTheme="minorHAnsi" w:cstheme="minorHAnsi"/>
                <w:b w:val="0"/>
                <w:bCs w:val="0"/>
                <w:color w:val="3B3838" w:themeColor="background2" w:themeShade="40"/>
                <w:sz w:val="20"/>
                <w:szCs w:val="20"/>
                <w:lang w:val="es-ES_tradnl" w:eastAsia="es-ES"/>
              </w:rPr>
              <w:t xml:space="preserve">3.2. </w:t>
            </w:r>
            <w:r w:rsidRPr="003543A9">
              <w:rPr>
                <w:rFonts w:asciiTheme="minorHAnsi" w:eastAsia="Calibri" w:hAnsiTheme="minorHAnsi" w:cstheme="minorHAnsi"/>
                <w:b w:val="0"/>
                <w:bCs w:val="0"/>
                <w:color w:val="3B3838" w:themeColor="background2" w:themeShade="40"/>
                <w:sz w:val="20"/>
                <w:szCs w:val="20"/>
                <w:lang w:val="es-ES_tradnl" w:eastAsia="es-ES"/>
              </w:rPr>
              <w:t>Describir las recomendaciones de acuerdo a su relevancia.</w:t>
            </w:r>
          </w:p>
          <w:p w14:paraId="0440E7A2" w14:textId="77777777" w:rsidR="003543A9" w:rsidRPr="003543A9" w:rsidRDefault="002665D5" w:rsidP="003543A9">
            <w:pPr>
              <w:pStyle w:val="cvgsua"/>
              <w:spacing w:line="240" w:lineRule="atLeast"/>
              <w:rPr>
                <w:rFonts w:asciiTheme="minorHAnsi" w:eastAsia="Calibri" w:hAnsiTheme="minorHAnsi" w:cstheme="minorHAnsi"/>
                <w:b w:val="0"/>
                <w:bCs w:val="0"/>
                <w:color w:val="3B3838" w:themeColor="background2" w:themeShade="40"/>
                <w:sz w:val="20"/>
                <w:szCs w:val="20"/>
                <w:lang w:val="es-ES_tradnl" w:eastAsia="es-ES"/>
              </w:rPr>
            </w:pPr>
            <w:r w:rsidRPr="003543A9">
              <w:rPr>
                <w:rFonts w:asciiTheme="minorHAnsi" w:eastAsia="Calibri" w:hAnsiTheme="minorHAnsi" w:cstheme="minorHAnsi"/>
                <w:b w:val="0"/>
                <w:bCs w:val="0"/>
                <w:color w:val="3B3838" w:themeColor="background2" w:themeShade="40"/>
                <w:sz w:val="20"/>
                <w:szCs w:val="20"/>
                <w:lang w:val="es-ES_tradnl" w:eastAsia="es-ES"/>
              </w:rPr>
              <w:t>1</w:t>
            </w:r>
            <w:r w:rsidR="003543A9" w:rsidRPr="003543A9">
              <w:rPr>
                <w:rFonts w:asciiTheme="minorHAnsi" w:eastAsia="Calibri" w:hAnsiTheme="minorHAnsi" w:cstheme="minorHAnsi"/>
                <w:b w:val="0"/>
                <w:bCs w:val="0"/>
                <w:color w:val="3B3838" w:themeColor="background2" w:themeShade="40"/>
                <w:sz w:val="20"/>
                <w:szCs w:val="20"/>
                <w:lang w:val="es-ES_tradnl" w:eastAsia="es-ES"/>
              </w:rPr>
              <w:t xml:space="preserve"> 1: Fortalecer la Planeación Estratégica:</w:t>
            </w:r>
          </w:p>
          <w:p w14:paraId="4902DE49" w14:textId="77777777" w:rsidR="003543A9" w:rsidRPr="003543A9" w:rsidRDefault="003543A9" w:rsidP="001324B2">
            <w:pPr>
              <w:numPr>
                <w:ilvl w:val="1"/>
                <w:numId w:val="9"/>
              </w:numPr>
              <w:spacing w:before="100" w:beforeAutospacing="1" w:after="100" w:afterAutospacing="1"/>
              <w:rPr>
                <w:rFonts w:asciiTheme="minorHAnsi" w:eastAsia="Calibri" w:hAnsiTheme="minorHAnsi" w:cstheme="minorHAnsi"/>
                <w:b w:val="0"/>
                <w:bCs w:val="0"/>
                <w:color w:val="3B3838" w:themeColor="background2" w:themeShade="40"/>
                <w:sz w:val="20"/>
                <w:szCs w:val="20"/>
                <w:lang w:val="es-ES_tradnl" w:eastAsia="es-ES"/>
              </w:rPr>
            </w:pPr>
            <w:r w:rsidRPr="003543A9">
              <w:rPr>
                <w:rFonts w:asciiTheme="minorHAnsi" w:eastAsia="Calibri" w:hAnsiTheme="minorHAnsi" w:cstheme="minorHAnsi"/>
                <w:b w:val="0"/>
                <w:bCs w:val="0"/>
                <w:color w:val="3B3838" w:themeColor="background2" w:themeShade="40"/>
                <w:sz w:val="20"/>
                <w:szCs w:val="20"/>
                <w:lang w:val="es-ES_tradnl" w:eastAsia="es-ES"/>
              </w:rPr>
              <w:lastRenderedPageBreak/>
              <w:t>Alineación con Objetivos: Asegurar que los proyectos financiados con el FORTAMUN estén alineados con los objetivos del Plan Municipal de Desarrollo y los Objetivos de Desarrollo Sostenible.</w:t>
            </w:r>
          </w:p>
          <w:p w14:paraId="0E166559" w14:textId="77777777" w:rsidR="003543A9" w:rsidRPr="003543A9" w:rsidRDefault="003543A9" w:rsidP="001324B2">
            <w:pPr>
              <w:numPr>
                <w:ilvl w:val="1"/>
                <w:numId w:val="9"/>
              </w:numPr>
              <w:spacing w:before="100" w:beforeAutospacing="1" w:after="100" w:afterAutospacing="1"/>
              <w:rPr>
                <w:rFonts w:asciiTheme="minorHAnsi" w:eastAsia="Calibri" w:hAnsiTheme="minorHAnsi" w:cstheme="minorHAnsi"/>
                <w:b w:val="0"/>
                <w:bCs w:val="0"/>
                <w:color w:val="3B3838" w:themeColor="background2" w:themeShade="40"/>
                <w:sz w:val="20"/>
                <w:szCs w:val="20"/>
                <w:lang w:val="es-ES_tradnl" w:eastAsia="es-ES"/>
              </w:rPr>
            </w:pPr>
            <w:r w:rsidRPr="003543A9">
              <w:rPr>
                <w:rFonts w:asciiTheme="minorHAnsi" w:eastAsia="Calibri" w:hAnsiTheme="minorHAnsi" w:cstheme="minorHAnsi"/>
                <w:b w:val="0"/>
                <w:bCs w:val="0"/>
                <w:color w:val="3B3838" w:themeColor="background2" w:themeShade="40"/>
                <w:sz w:val="20"/>
                <w:szCs w:val="20"/>
                <w:lang w:val="es-ES_tradnl" w:eastAsia="es-ES"/>
              </w:rPr>
              <w:t>Enfoque en Resultados: Priorizar proyectos con un alto potencial de impacto en la calidad de vida de la población y en el desarrollo sostenible del municipio.</w:t>
            </w:r>
          </w:p>
          <w:p w14:paraId="0C3ABE1C" w14:textId="77777777" w:rsidR="003543A9" w:rsidRPr="003543A9" w:rsidRDefault="003543A9" w:rsidP="001324B2">
            <w:pPr>
              <w:numPr>
                <w:ilvl w:val="1"/>
                <w:numId w:val="9"/>
              </w:numPr>
              <w:spacing w:before="100" w:beforeAutospacing="1" w:after="100" w:afterAutospacing="1"/>
              <w:rPr>
                <w:rFonts w:asciiTheme="minorHAnsi" w:eastAsia="Calibri" w:hAnsiTheme="minorHAnsi" w:cstheme="minorHAnsi"/>
                <w:b w:val="0"/>
                <w:bCs w:val="0"/>
                <w:color w:val="3B3838" w:themeColor="background2" w:themeShade="40"/>
                <w:sz w:val="20"/>
                <w:szCs w:val="20"/>
                <w:lang w:val="es-ES_tradnl" w:eastAsia="es-ES"/>
              </w:rPr>
            </w:pPr>
            <w:r w:rsidRPr="003543A9">
              <w:rPr>
                <w:rFonts w:asciiTheme="minorHAnsi" w:eastAsia="Calibri" w:hAnsiTheme="minorHAnsi" w:cstheme="minorHAnsi"/>
                <w:b w:val="0"/>
                <w:bCs w:val="0"/>
                <w:color w:val="3B3838" w:themeColor="background2" w:themeShade="40"/>
                <w:sz w:val="20"/>
                <w:szCs w:val="20"/>
                <w:lang w:val="es-ES_tradnl" w:eastAsia="es-ES"/>
              </w:rPr>
              <w:t>Participación Ciudadana: Involucrar a la ciudadanía en la definición de las prioridades y en el seguimiento de los proyectos.</w:t>
            </w:r>
          </w:p>
          <w:p w14:paraId="449BE32E" w14:textId="77777777" w:rsidR="003543A9" w:rsidRPr="003543A9" w:rsidRDefault="003543A9" w:rsidP="003543A9">
            <w:pPr>
              <w:spacing w:before="100" w:beforeAutospacing="1" w:after="100" w:afterAutospacing="1" w:line="240" w:lineRule="atLeast"/>
              <w:rPr>
                <w:rFonts w:asciiTheme="minorHAnsi" w:eastAsia="Calibri" w:hAnsiTheme="minorHAnsi" w:cstheme="minorHAnsi"/>
                <w:b w:val="0"/>
                <w:bCs w:val="0"/>
                <w:color w:val="3B3838" w:themeColor="background2" w:themeShade="40"/>
                <w:sz w:val="20"/>
                <w:szCs w:val="20"/>
                <w:lang w:val="es-ES_tradnl" w:eastAsia="es-ES"/>
              </w:rPr>
            </w:pPr>
            <w:r w:rsidRPr="003543A9">
              <w:rPr>
                <w:rFonts w:asciiTheme="minorHAnsi" w:eastAsia="Calibri" w:hAnsiTheme="minorHAnsi" w:cstheme="minorHAnsi"/>
                <w:b w:val="0"/>
                <w:bCs w:val="0"/>
                <w:color w:val="3B3838" w:themeColor="background2" w:themeShade="40"/>
                <w:sz w:val="20"/>
                <w:szCs w:val="20"/>
                <w:lang w:val="es-ES_tradnl" w:eastAsia="es-ES"/>
              </w:rPr>
              <w:t>2.Optimizar la Gestión de Proyectos:</w:t>
            </w:r>
          </w:p>
          <w:p w14:paraId="2B673F98" w14:textId="77777777" w:rsidR="003543A9" w:rsidRPr="003543A9" w:rsidRDefault="003543A9" w:rsidP="001324B2">
            <w:pPr>
              <w:numPr>
                <w:ilvl w:val="1"/>
                <w:numId w:val="9"/>
              </w:numPr>
              <w:spacing w:before="100" w:beforeAutospacing="1" w:after="100" w:afterAutospacing="1"/>
              <w:rPr>
                <w:rFonts w:asciiTheme="minorHAnsi" w:eastAsia="Calibri" w:hAnsiTheme="minorHAnsi" w:cstheme="minorHAnsi"/>
                <w:b w:val="0"/>
                <w:bCs w:val="0"/>
                <w:color w:val="3B3838" w:themeColor="background2" w:themeShade="40"/>
                <w:sz w:val="20"/>
                <w:szCs w:val="20"/>
                <w:lang w:val="es-ES_tradnl" w:eastAsia="es-ES"/>
              </w:rPr>
            </w:pPr>
            <w:r w:rsidRPr="003543A9">
              <w:rPr>
                <w:rFonts w:asciiTheme="minorHAnsi" w:eastAsia="Calibri" w:hAnsiTheme="minorHAnsi" w:cstheme="minorHAnsi"/>
                <w:b w:val="0"/>
                <w:bCs w:val="0"/>
                <w:color w:val="3B3838" w:themeColor="background2" w:themeShade="40"/>
                <w:sz w:val="20"/>
                <w:szCs w:val="20"/>
                <w:lang w:val="es-ES_tradnl" w:eastAsia="es-ES"/>
              </w:rPr>
              <w:t>Sistemas de Información: Implementar sistemas de información geográfica y de gestión de proyectos que permitan un seguimiento en tiempo real del avance físico y financiero de las obras.</w:t>
            </w:r>
          </w:p>
          <w:p w14:paraId="32FF6291" w14:textId="77777777" w:rsidR="003543A9" w:rsidRPr="003543A9" w:rsidRDefault="003543A9" w:rsidP="001324B2">
            <w:pPr>
              <w:numPr>
                <w:ilvl w:val="1"/>
                <w:numId w:val="9"/>
              </w:numPr>
              <w:spacing w:before="100" w:beforeAutospacing="1" w:after="100" w:afterAutospacing="1"/>
              <w:rPr>
                <w:rFonts w:asciiTheme="minorHAnsi" w:eastAsia="Calibri" w:hAnsiTheme="minorHAnsi" w:cstheme="minorHAnsi"/>
                <w:b w:val="0"/>
                <w:bCs w:val="0"/>
                <w:color w:val="3B3838" w:themeColor="background2" w:themeShade="40"/>
                <w:sz w:val="20"/>
                <w:szCs w:val="20"/>
                <w:lang w:val="es-ES_tradnl" w:eastAsia="es-ES"/>
              </w:rPr>
            </w:pPr>
            <w:r w:rsidRPr="003543A9">
              <w:rPr>
                <w:rFonts w:asciiTheme="minorHAnsi" w:eastAsia="Calibri" w:hAnsiTheme="minorHAnsi" w:cstheme="minorHAnsi"/>
                <w:b w:val="0"/>
                <w:bCs w:val="0"/>
                <w:color w:val="3B3838" w:themeColor="background2" w:themeShade="40"/>
                <w:sz w:val="20"/>
                <w:szCs w:val="20"/>
                <w:lang w:val="es-ES_tradnl" w:eastAsia="es-ES"/>
              </w:rPr>
              <w:t>Evaluación Continua: Establecer mecanismos de evaluación continua que permitan identificar las desviaciones y tomar medidas correctivas de manera oportuna.</w:t>
            </w:r>
          </w:p>
          <w:p w14:paraId="0A751EEF" w14:textId="77777777" w:rsidR="003543A9" w:rsidRPr="003543A9" w:rsidRDefault="003543A9" w:rsidP="001324B2">
            <w:pPr>
              <w:numPr>
                <w:ilvl w:val="1"/>
                <w:numId w:val="9"/>
              </w:numPr>
              <w:spacing w:before="100" w:beforeAutospacing="1" w:after="100" w:afterAutospacing="1"/>
              <w:rPr>
                <w:rFonts w:asciiTheme="minorHAnsi" w:eastAsia="Calibri" w:hAnsiTheme="minorHAnsi" w:cstheme="minorHAnsi"/>
                <w:b w:val="0"/>
                <w:bCs w:val="0"/>
                <w:color w:val="3B3838" w:themeColor="background2" w:themeShade="40"/>
                <w:sz w:val="20"/>
                <w:szCs w:val="20"/>
                <w:lang w:val="es-ES_tradnl" w:eastAsia="es-ES"/>
              </w:rPr>
            </w:pPr>
            <w:r w:rsidRPr="003543A9">
              <w:rPr>
                <w:rFonts w:asciiTheme="minorHAnsi" w:eastAsia="Calibri" w:hAnsiTheme="minorHAnsi" w:cstheme="minorHAnsi"/>
                <w:b w:val="0"/>
                <w:bCs w:val="0"/>
                <w:color w:val="3B3838" w:themeColor="background2" w:themeShade="40"/>
                <w:sz w:val="20"/>
                <w:szCs w:val="20"/>
                <w:lang w:val="es-ES_tradnl" w:eastAsia="es-ES"/>
              </w:rPr>
              <w:t>Capacitación del Personal: Fortalecer las capacidades del personal involucrado en la gestión de proyectos, especialmente en temas de diseño, ejecución y evaluación.</w:t>
            </w:r>
          </w:p>
          <w:p w14:paraId="4A306A86" w14:textId="77777777" w:rsidR="003543A9" w:rsidRPr="003543A9" w:rsidRDefault="003543A9" w:rsidP="003543A9">
            <w:pPr>
              <w:spacing w:before="100" w:beforeAutospacing="1" w:after="100" w:afterAutospacing="1" w:line="240" w:lineRule="atLeast"/>
              <w:rPr>
                <w:rFonts w:asciiTheme="minorHAnsi" w:hAnsiTheme="minorHAnsi" w:cstheme="minorHAnsi"/>
                <w:b w:val="0"/>
                <w:bCs w:val="0"/>
                <w:color w:val="454A51"/>
                <w:sz w:val="20"/>
                <w:szCs w:val="20"/>
                <w:lang w:eastAsia="es-MX"/>
              </w:rPr>
            </w:pPr>
            <w:r w:rsidRPr="003543A9">
              <w:rPr>
                <w:rFonts w:asciiTheme="minorHAnsi" w:hAnsiTheme="minorHAnsi" w:cstheme="minorHAnsi"/>
                <w:b w:val="0"/>
                <w:bCs w:val="0"/>
                <w:color w:val="454A51"/>
                <w:sz w:val="20"/>
                <w:szCs w:val="20"/>
                <w:lang w:eastAsia="es-MX"/>
              </w:rPr>
              <w:t>3.Promover la Transparencia y la Rendición de Cuentas:</w:t>
            </w:r>
          </w:p>
          <w:p w14:paraId="3E737D42" w14:textId="77777777" w:rsidR="003543A9" w:rsidRPr="003543A9" w:rsidRDefault="003543A9" w:rsidP="001324B2">
            <w:pPr>
              <w:numPr>
                <w:ilvl w:val="1"/>
                <w:numId w:val="10"/>
              </w:numPr>
              <w:spacing w:before="100" w:beforeAutospacing="1" w:after="100" w:afterAutospacing="1"/>
              <w:rPr>
                <w:rFonts w:asciiTheme="minorHAnsi" w:hAnsiTheme="minorHAnsi" w:cstheme="minorHAnsi"/>
                <w:b w:val="0"/>
                <w:bCs w:val="0"/>
                <w:sz w:val="20"/>
                <w:szCs w:val="20"/>
                <w:lang w:eastAsia="es-MX"/>
              </w:rPr>
            </w:pPr>
            <w:r w:rsidRPr="003543A9">
              <w:rPr>
                <w:rFonts w:asciiTheme="minorHAnsi" w:hAnsiTheme="minorHAnsi" w:cstheme="minorHAnsi"/>
                <w:b w:val="0"/>
                <w:bCs w:val="0"/>
                <w:color w:val="454A51"/>
                <w:sz w:val="20"/>
                <w:szCs w:val="20"/>
                <w:lang w:eastAsia="es-MX"/>
              </w:rPr>
              <w:t>Información Pública: Publicar de manera clara y accesible toda la información relacionada con la ejecución del FORTAMUN, incluyendo los proyectos financiados, los beneficiarios y los resultados obtenidos.</w:t>
            </w:r>
          </w:p>
          <w:p w14:paraId="6F991A00" w14:textId="77777777" w:rsidR="003543A9" w:rsidRPr="003543A9" w:rsidRDefault="003543A9" w:rsidP="001324B2">
            <w:pPr>
              <w:numPr>
                <w:ilvl w:val="1"/>
                <w:numId w:val="10"/>
              </w:numPr>
              <w:spacing w:before="100" w:beforeAutospacing="1" w:after="100" w:afterAutospacing="1"/>
              <w:rPr>
                <w:rFonts w:asciiTheme="minorHAnsi" w:hAnsiTheme="minorHAnsi" w:cstheme="minorHAnsi"/>
                <w:b w:val="0"/>
                <w:bCs w:val="0"/>
                <w:sz w:val="20"/>
                <w:szCs w:val="20"/>
                <w:lang w:eastAsia="es-MX"/>
              </w:rPr>
            </w:pPr>
            <w:r w:rsidRPr="003543A9">
              <w:rPr>
                <w:rFonts w:asciiTheme="minorHAnsi" w:hAnsiTheme="minorHAnsi" w:cstheme="minorHAnsi"/>
                <w:b w:val="0"/>
                <w:bCs w:val="0"/>
                <w:color w:val="454A51"/>
                <w:sz w:val="20"/>
                <w:szCs w:val="20"/>
                <w:lang w:eastAsia="es-MX"/>
              </w:rPr>
              <w:t>Mecanismos de Participación: Implementar mecanismos de participación ciudadana que permitan a la sociedad civil vigilar la ejecución de los recursos y presentar sus propuestas.</w:t>
            </w:r>
          </w:p>
          <w:p w14:paraId="5F8767B6" w14:textId="77777777" w:rsidR="003543A9" w:rsidRPr="003543A9" w:rsidRDefault="003543A9" w:rsidP="001324B2">
            <w:pPr>
              <w:numPr>
                <w:ilvl w:val="1"/>
                <w:numId w:val="10"/>
              </w:numPr>
              <w:spacing w:before="100" w:beforeAutospacing="1" w:after="100" w:afterAutospacing="1"/>
              <w:rPr>
                <w:rFonts w:asciiTheme="minorHAnsi" w:hAnsiTheme="minorHAnsi" w:cstheme="minorHAnsi"/>
                <w:b w:val="0"/>
                <w:bCs w:val="0"/>
                <w:sz w:val="20"/>
                <w:szCs w:val="20"/>
                <w:lang w:eastAsia="es-MX"/>
              </w:rPr>
            </w:pPr>
            <w:r w:rsidRPr="003543A9">
              <w:rPr>
                <w:rFonts w:asciiTheme="minorHAnsi" w:hAnsiTheme="minorHAnsi" w:cstheme="minorHAnsi"/>
                <w:b w:val="0"/>
                <w:bCs w:val="0"/>
                <w:color w:val="454A51"/>
                <w:sz w:val="20"/>
                <w:szCs w:val="20"/>
                <w:lang w:eastAsia="es-MX"/>
              </w:rPr>
              <w:t>Auditorías Externas: Realizar auditorías externas periódicas para garantizar la transparencia y la rendición de cuentas.</w:t>
            </w:r>
          </w:p>
          <w:p w14:paraId="68A298BE" w14:textId="77777777" w:rsidR="003543A9" w:rsidRPr="003543A9" w:rsidRDefault="003543A9" w:rsidP="003543A9">
            <w:pPr>
              <w:spacing w:before="100" w:beforeAutospacing="1" w:after="100" w:afterAutospacing="1" w:line="240" w:lineRule="atLeast"/>
              <w:rPr>
                <w:rFonts w:asciiTheme="minorHAnsi" w:hAnsiTheme="minorHAnsi" w:cstheme="minorHAnsi"/>
                <w:b w:val="0"/>
                <w:bCs w:val="0"/>
                <w:color w:val="454A51"/>
                <w:spacing w:val="5"/>
                <w:sz w:val="20"/>
                <w:szCs w:val="20"/>
                <w:lang w:eastAsia="es-MX"/>
              </w:rPr>
            </w:pPr>
            <w:r w:rsidRPr="003543A9">
              <w:rPr>
                <w:rFonts w:asciiTheme="minorHAnsi" w:hAnsiTheme="minorHAnsi" w:cstheme="minorHAnsi"/>
                <w:b w:val="0"/>
                <w:bCs w:val="0"/>
                <w:color w:val="454A51"/>
                <w:spacing w:val="5"/>
                <w:sz w:val="20"/>
                <w:szCs w:val="20"/>
                <w:lang w:eastAsia="es-MX"/>
              </w:rPr>
              <w:t>4.Sostenibilidad Financiera:</w:t>
            </w:r>
          </w:p>
          <w:p w14:paraId="40CA92E1" w14:textId="77777777" w:rsidR="003543A9" w:rsidRPr="003543A9" w:rsidRDefault="003543A9" w:rsidP="001324B2">
            <w:pPr>
              <w:numPr>
                <w:ilvl w:val="1"/>
                <w:numId w:val="11"/>
              </w:numPr>
              <w:spacing w:before="100" w:beforeAutospacing="1" w:after="100" w:afterAutospacing="1"/>
              <w:rPr>
                <w:rFonts w:asciiTheme="minorHAnsi" w:hAnsiTheme="minorHAnsi" w:cstheme="minorHAnsi"/>
                <w:b w:val="0"/>
                <w:bCs w:val="0"/>
                <w:sz w:val="20"/>
                <w:szCs w:val="20"/>
                <w:lang w:eastAsia="es-MX"/>
              </w:rPr>
            </w:pPr>
            <w:r w:rsidRPr="003543A9">
              <w:rPr>
                <w:rFonts w:asciiTheme="minorHAnsi" w:hAnsiTheme="minorHAnsi" w:cstheme="minorHAnsi"/>
                <w:b w:val="0"/>
                <w:bCs w:val="0"/>
                <w:color w:val="454A51"/>
                <w:sz w:val="20"/>
                <w:szCs w:val="20"/>
                <w:lang w:eastAsia="es-MX"/>
              </w:rPr>
              <w:t>Diversificación de Ingresos: Explorar nuevas fuentes de financiamiento para reducir la dependencia de los recursos federales y asegurar la sostenibilidad financiera de los proyectos.</w:t>
            </w:r>
          </w:p>
          <w:p w14:paraId="3671A41F" w14:textId="77777777" w:rsidR="003543A9" w:rsidRPr="003543A9" w:rsidRDefault="003543A9" w:rsidP="003543A9">
            <w:pPr>
              <w:spacing w:before="100" w:beforeAutospacing="1" w:after="100" w:afterAutospacing="1" w:line="240" w:lineRule="atLeast"/>
              <w:rPr>
                <w:rFonts w:asciiTheme="minorHAnsi" w:hAnsiTheme="minorHAnsi" w:cstheme="minorHAnsi"/>
                <w:b w:val="0"/>
                <w:bCs w:val="0"/>
                <w:color w:val="454A51"/>
                <w:sz w:val="20"/>
                <w:szCs w:val="20"/>
                <w:lang w:eastAsia="es-MX"/>
              </w:rPr>
            </w:pPr>
            <w:r w:rsidRPr="003543A9">
              <w:rPr>
                <w:rFonts w:asciiTheme="minorHAnsi" w:hAnsiTheme="minorHAnsi" w:cstheme="minorHAnsi"/>
                <w:b w:val="0"/>
                <w:bCs w:val="0"/>
                <w:color w:val="454A51"/>
                <w:sz w:val="20"/>
                <w:szCs w:val="20"/>
                <w:lang w:eastAsia="es-MX"/>
              </w:rPr>
              <w:t>Mantenimiento de Infraestructura: Establecer mecanismos para garantizar el mantenimiento a largo plazo de las obras y equipos financiados con el FORTAMUN.</w:t>
            </w:r>
          </w:p>
          <w:p w14:paraId="40B1FFB2" w14:textId="77777777" w:rsidR="003543A9" w:rsidRPr="003543A9" w:rsidRDefault="003543A9" w:rsidP="003543A9">
            <w:pPr>
              <w:spacing w:before="100" w:beforeAutospacing="1" w:after="100" w:afterAutospacing="1" w:line="240" w:lineRule="atLeast"/>
              <w:rPr>
                <w:rFonts w:asciiTheme="minorHAnsi" w:hAnsiTheme="minorHAnsi" w:cstheme="minorHAnsi"/>
                <w:b w:val="0"/>
                <w:bCs w:val="0"/>
                <w:color w:val="454A51"/>
                <w:spacing w:val="5"/>
                <w:sz w:val="20"/>
                <w:szCs w:val="20"/>
                <w:lang w:eastAsia="es-MX"/>
              </w:rPr>
            </w:pPr>
            <w:r w:rsidRPr="003543A9">
              <w:rPr>
                <w:rFonts w:asciiTheme="minorHAnsi" w:hAnsiTheme="minorHAnsi" w:cstheme="minorHAnsi"/>
                <w:b w:val="0"/>
                <w:bCs w:val="0"/>
                <w:color w:val="454A51"/>
                <w:spacing w:val="5"/>
                <w:sz w:val="20"/>
                <w:szCs w:val="20"/>
                <w:lang w:eastAsia="es-MX"/>
              </w:rPr>
              <w:t>5.Innovación y Adaptación:</w:t>
            </w:r>
          </w:p>
          <w:p w14:paraId="07AB1F9E" w14:textId="77777777" w:rsidR="003543A9" w:rsidRPr="003543A9" w:rsidRDefault="003543A9" w:rsidP="001324B2">
            <w:pPr>
              <w:numPr>
                <w:ilvl w:val="1"/>
                <w:numId w:val="12"/>
              </w:numPr>
              <w:spacing w:before="100" w:beforeAutospacing="1" w:after="100" w:afterAutospacing="1"/>
              <w:rPr>
                <w:rFonts w:asciiTheme="minorHAnsi" w:hAnsiTheme="minorHAnsi" w:cstheme="minorHAnsi"/>
                <w:b w:val="0"/>
                <w:bCs w:val="0"/>
                <w:sz w:val="20"/>
                <w:szCs w:val="20"/>
                <w:lang w:eastAsia="es-MX"/>
              </w:rPr>
            </w:pPr>
            <w:r w:rsidRPr="003543A9">
              <w:rPr>
                <w:rFonts w:asciiTheme="minorHAnsi" w:hAnsiTheme="minorHAnsi" w:cstheme="minorHAnsi"/>
                <w:b w:val="0"/>
                <w:bCs w:val="0"/>
                <w:color w:val="454A51"/>
                <w:sz w:val="20"/>
                <w:szCs w:val="20"/>
                <w:lang w:eastAsia="es-MX"/>
              </w:rPr>
              <w:t xml:space="preserve">Nuevas Tecnologías: Incorporar tecnologías innovadoras en la gestión de los recursos, como la inteligencia artificial y el </w:t>
            </w:r>
            <w:proofErr w:type="spellStart"/>
            <w:r w:rsidRPr="003543A9">
              <w:rPr>
                <w:rFonts w:asciiTheme="minorHAnsi" w:hAnsiTheme="minorHAnsi" w:cstheme="minorHAnsi"/>
                <w:b w:val="0"/>
                <w:bCs w:val="0"/>
                <w:color w:val="454A51"/>
                <w:sz w:val="20"/>
                <w:szCs w:val="20"/>
                <w:lang w:eastAsia="es-MX"/>
              </w:rPr>
              <w:t>big</w:t>
            </w:r>
            <w:proofErr w:type="spellEnd"/>
            <w:r w:rsidRPr="003543A9">
              <w:rPr>
                <w:rFonts w:asciiTheme="minorHAnsi" w:hAnsiTheme="minorHAnsi" w:cstheme="minorHAnsi"/>
                <w:b w:val="0"/>
                <w:bCs w:val="0"/>
                <w:color w:val="454A51"/>
                <w:sz w:val="20"/>
                <w:szCs w:val="20"/>
                <w:lang w:eastAsia="es-MX"/>
              </w:rPr>
              <w:t xml:space="preserve"> data.</w:t>
            </w:r>
          </w:p>
          <w:p w14:paraId="4AE89C9B" w14:textId="77777777" w:rsidR="003543A9" w:rsidRPr="003543A9" w:rsidRDefault="003543A9" w:rsidP="001324B2">
            <w:pPr>
              <w:numPr>
                <w:ilvl w:val="1"/>
                <w:numId w:val="12"/>
              </w:numPr>
              <w:spacing w:before="100" w:beforeAutospacing="1" w:after="100" w:afterAutospacing="1"/>
              <w:rPr>
                <w:rFonts w:asciiTheme="minorHAnsi" w:eastAsia="Calibri" w:hAnsiTheme="minorHAnsi" w:cstheme="minorHAnsi"/>
                <w:b w:val="0"/>
                <w:bCs w:val="0"/>
                <w:color w:val="3B3838" w:themeColor="background2" w:themeShade="40"/>
                <w:sz w:val="20"/>
                <w:szCs w:val="20"/>
                <w:lang w:val="es-ES_tradnl" w:eastAsia="es-ES"/>
              </w:rPr>
            </w:pPr>
            <w:r w:rsidRPr="003543A9">
              <w:rPr>
                <w:rFonts w:asciiTheme="minorHAnsi" w:hAnsiTheme="minorHAnsi" w:cstheme="minorHAnsi"/>
                <w:b w:val="0"/>
                <w:bCs w:val="0"/>
                <w:color w:val="454A51"/>
                <w:sz w:val="20"/>
                <w:szCs w:val="20"/>
                <w:lang w:eastAsia="es-MX"/>
              </w:rPr>
              <w:t>Adaptación al Cambio Climático: Integrar criterios de sostenibilidad ambiental en la planeación y ejecución de los proyectos, considerando los efectos del cambio climático.</w:t>
            </w:r>
          </w:p>
          <w:p w14:paraId="58CCC697" w14:textId="77777777" w:rsidR="002665D5" w:rsidRPr="00727561" w:rsidRDefault="002665D5" w:rsidP="00727561">
            <w:pPr>
              <w:spacing w:before="100" w:beforeAutospacing="1" w:after="100" w:afterAutospacing="1"/>
              <w:ind w:left="360"/>
              <w:jc w:val="both"/>
              <w:rPr>
                <w:rFonts w:asciiTheme="minorHAnsi" w:eastAsia="Calibri" w:hAnsiTheme="minorHAnsi" w:cstheme="minorHAnsi"/>
                <w:b w:val="0"/>
                <w:bCs w:val="0"/>
                <w:color w:val="3B3838" w:themeColor="background2" w:themeShade="40"/>
                <w:sz w:val="20"/>
                <w:szCs w:val="20"/>
                <w:lang w:val="es-ES_tradnl" w:eastAsia="es-ES"/>
              </w:rPr>
            </w:pPr>
          </w:p>
        </w:tc>
      </w:tr>
      <w:tr w:rsidR="00E607B3" w:rsidRPr="0003342C" w14:paraId="6294D174" w14:textId="77777777" w:rsidTr="00BD5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750B4E"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lastRenderedPageBreak/>
              <w:t>4. DATOS DE LA INSTANCIA EVALUADORA.</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3F9DC8" w14:textId="77777777" w:rsidR="00E607B3" w:rsidRPr="0003342C" w:rsidRDefault="00E607B3" w:rsidP="0072756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p>
        </w:tc>
      </w:tr>
      <w:tr w:rsidR="00E607B3" w:rsidRPr="0003342C" w14:paraId="324BC1EA" w14:textId="77777777" w:rsidTr="00BD51BA">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343A24"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4.1. Nombre del coordinador de la evaluación:</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A7393E" w14:textId="77777777" w:rsidR="00E607B3" w:rsidRPr="0003342C" w:rsidRDefault="00E607B3" w:rsidP="0072756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Marlin Karina Garrido Bal</w:t>
            </w:r>
            <w:r w:rsidR="00BD51BA">
              <w:rPr>
                <w:rFonts w:ascii="Calibri" w:eastAsia="Calibri" w:hAnsi="Calibri"/>
                <w:color w:val="3B3838" w:themeColor="background2" w:themeShade="40"/>
                <w:sz w:val="20"/>
                <w:szCs w:val="20"/>
                <w:lang w:eastAsia="es-MX"/>
              </w:rPr>
              <w:t>am</w:t>
            </w:r>
          </w:p>
        </w:tc>
      </w:tr>
      <w:tr w:rsidR="00E607B3" w:rsidRPr="0003342C" w14:paraId="4D430F62" w14:textId="77777777" w:rsidTr="00BD5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5AF5F1"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4.2. Cargo</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99E069" w14:textId="77777777" w:rsidR="00E607B3" w:rsidRPr="0003342C" w:rsidRDefault="00E607B3" w:rsidP="0072756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 xml:space="preserve"> Coordinador</w:t>
            </w:r>
          </w:p>
        </w:tc>
      </w:tr>
      <w:tr w:rsidR="00E607B3" w:rsidRPr="0003342C" w14:paraId="71F7F20A" w14:textId="77777777" w:rsidTr="00BD51BA">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0B20A88"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4.3. Institución a la que pertenece</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4AB468" w14:textId="77777777" w:rsidR="00E607B3" w:rsidRPr="0003342C" w:rsidRDefault="0097323A" w:rsidP="0072756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olor w:val="3B3838" w:themeColor="background2" w:themeShade="40"/>
                <w:sz w:val="20"/>
                <w:szCs w:val="20"/>
                <w:lang w:eastAsia="es-MX"/>
              </w:rPr>
            </w:pPr>
            <w:r w:rsidRPr="0097323A">
              <w:rPr>
                <w:rFonts w:ascii="Calibri" w:eastAsia="Calibri" w:hAnsi="Calibri"/>
                <w:color w:val="3B3838" w:themeColor="background2" w:themeShade="40"/>
                <w:sz w:val="20"/>
                <w:szCs w:val="20"/>
                <w:lang w:eastAsia="es-MX"/>
              </w:rPr>
              <w:t>Despacho jurídico contable Garrido y Asociados</w:t>
            </w:r>
          </w:p>
        </w:tc>
      </w:tr>
      <w:tr w:rsidR="00E607B3" w:rsidRPr="0003342C" w14:paraId="0E7265F2" w14:textId="77777777" w:rsidTr="00BD5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0D57ED"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lastRenderedPageBreak/>
              <w:t>4.4. Principales colaboradores</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F30753" w14:textId="77777777" w:rsidR="00E607B3" w:rsidRDefault="00BD51BA" w:rsidP="0097323A">
            <w:pPr>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r>
              <w:rPr>
                <w:rFonts w:ascii="Calibri" w:eastAsia="Calibri" w:hAnsi="Calibri"/>
                <w:color w:val="3B3838" w:themeColor="background2" w:themeShade="40"/>
                <w:sz w:val="20"/>
                <w:szCs w:val="20"/>
                <w:lang w:eastAsia="es-MX"/>
              </w:rPr>
              <w:t xml:space="preserve">Mtra. </w:t>
            </w:r>
            <w:r w:rsidR="00E607B3" w:rsidRPr="0003342C">
              <w:rPr>
                <w:rFonts w:ascii="Calibri" w:eastAsia="Calibri" w:hAnsi="Calibri"/>
                <w:color w:val="3B3838" w:themeColor="background2" w:themeShade="40"/>
                <w:sz w:val="20"/>
                <w:szCs w:val="20"/>
                <w:lang w:eastAsia="es-MX"/>
              </w:rPr>
              <w:t xml:space="preserve">Rosalba Becerra </w:t>
            </w:r>
            <w:proofErr w:type="spellStart"/>
            <w:r w:rsidR="00E607B3" w:rsidRPr="0003342C">
              <w:rPr>
                <w:rFonts w:ascii="Calibri" w:eastAsia="Calibri" w:hAnsi="Calibri"/>
                <w:color w:val="3B3838" w:themeColor="background2" w:themeShade="40"/>
                <w:sz w:val="20"/>
                <w:szCs w:val="20"/>
                <w:lang w:eastAsia="es-MX"/>
              </w:rPr>
              <w:t>Bazarte</w:t>
            </w:r>
            <w:proofErr w:type="spellEnd"/>
            <w:r w:rsidR="00E607B3" w:rsidRPr="0003342C">
              <w:rPr>
                <w:rFonts w:ascii="Calibri" w:eastAsia="Calibri" w:hAnsi="Calibri"/>
                <w:color w:val="3B3838" w:themeColor="background2" w:themeShade="40"/>
                <w:sz w:val="20"/>
                <w:szCs w:val="20"/>
                <w:lang w:eastAsia="es-MX"/>
              </w:rPr>
              <w:t xml:space="preserve"> </w:t>
            </w:r>
          </w:p>
          <w:p w14:paraId="486CC807" w14:textId="77777777" w:rsidR="00BD51BA" w:rsidRPr="0003342C" w:rsidRDefault="00BD51BA" w:rsidP="0097323A">
            <w:pPr>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proofErr w:type="spellStart"/>
            <w:r>
              <w:rPr>
                <w:rFonts w:ascii="Calibri" w:eastAsia="Calibri" w:hAnsi="Calibri"/>
                <w:color w:val="3B3838" w:themeColor="background2" w:themeShade="40"/>
                <w:sz w:val="20"/>
                <w:szCs w:val="20"/>
                <w:lang w:eastAsia="es-MX"/>
              </w:rPr>
              <w:t>Mtra</w:t>
            </w:r>
            <w:proofErr w:type="spellEnd"/>
            <w:r w:rsidRPr="0003342C">
              <w:rPr>
                <w:rFonts w:ascii="Calibri" w:eastAsia="Calibri" w:hAnsi="Calibri"/>
                <w:color w:val="3B3838" w:themeColor="background2" w:themeShade="40"/>
                <w:sz w:val="20"/>
                <w:szCs w:val="20"/>
                <w:lang w:eastAsia="es-MX"/>
              </w:rPr>
              <w:t xml:space="preserve"> Karla </w:t>
            </w:r>
            <w:r>
              <w:rPr>
                <w:rFonts w:ascii="Calibri" w:eastAsia="Calibri" w:hAnsi="Calibri"/>
                <w:color w:val="3B3838" w:themeColor="background2" w:themeShade="40"/>
                <w:sz w:val="20"/>
                <w:szCs w:val="20"/>
                <w:lang w:eastAsia="es-MX"/>
              </w:rPr>
              <w:t xml:space="preserve"> </w:t>
            </w:r>
            <w:r w:rsidRPr="0003342C">
              <w:rPr>
                <w:rFonts w:ascii="Calibri" w:eastAsia="Calibri" w:hAnsi="Calibri"/>
                <w:color w:val="3B3838" w:themeColor="background2" w:themeShade="40"/>
                <w:sz w:val="20"/>
                <w:szCs w:val="20"/>
                <w:lang w:eastAsia="es-MX"/>
              </w:rPr>
              <w:t>Sosa López</w:t>
            </w:r>
          </w:p>
          <w:p w14:paraId="10429C52" w14:textId="77777777" w:rsidR="00E607B3" w:rsidRDefault="00BD51BA" w:rsidP="0097323A">
            <w:pPr>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r>
              <w:rPr>
                <w:rFonts w:ascii="Calibri" w:eastAsia="Calibri" w:hAnsi="Calibri"/>
                <w:color w:val="3B3838" w:themeColor="background2" w:themeShade="40"/>
                <w:sz w:val="20"/>
                <w:szCs w:val="20"/>
                <w:lang w:eastAsia="es-MX"/>
              </w:rPr>
              <w:t xml:space="preserve">Mtra. </w:t>
            </w:r>
            <w:r w:rsidR="00E607B3" w:rsidRPr="0003342C">
              <w:rPr>
                <w:rFonts w:ascii="Calibri" w:eastAsia="Calibri" w:hAnsi="Calibri"/>
                <w:color w:val="3B3838" w:themeColor="background2" w:themeShade="40"/>
                <w:sz w:val="20"/>
                <w:szCs w:val="20"/>
                <w:lang w:eastAsia="es-MX"/>
              </w:rPr>
              <w:t>Sandra Beatriz Garrido Bal</w:t>
            </w:r>
            <w:r>
              <w:rPr>
                <w:rFonts w:ascii="Calibri" w:eastAsia="Calibri" w:hAnsi="Calibri"/>
                <w:color w:val="3B3838" w:themeColor="background2" w:themeShade="40"/>
                <w:sz w:val="20"/>
                <w:szCs w:val="20"/>
                <w:lang w:eastAsia="es-MX"/>
              </w:rPr>
              <w:t>am</w:t>
            </w:r>
          </w:p>
          <w:p w14:paraId="6673BF37" w14:textId="77777777" w:rsidR="00BD51BA" w:rsidRPr="0003342C" w:rsidRDefault="00BD51BA" w:rsidP="0097323A">
            <w:pPr>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r>
              <w:rPr>
                <w:rFonts w:ascii="Calibri" w:eastAsia="Calibri" w:hAnsi="Calibri"/>
                <w:color w:val="3B3838" w:themeColor="background2" w:themeShade="40"/>
                <w:sz w:val="20"/>
                <w:szCs w:val="20"/>
                <w:lang w:eastAsia="es-MX"/>
              </w:rPr>
              <w:t xml:space="preserve">Ing. Eli </w:t>
            </w:r>
            <w:proofErr w:type="spellStart"/>
            <w:r>
              <w:rPr>
                <w:rFonts w:ascii="Calibri" w:eastAsia="Calibri" w:hAnsi="Calibri"/>
                <w:color w:val="3B3838" w:themeColor="background2" w:themeShade="40"/>
                <w:sz w:val="20"/>
                <w:szCs w:val="20"/>
                <w:lang w:eastAsia="es-MX"/>
              </w:rPr>
              <w:t>Abihail</w:t>
            </w:r>
            <w:proofErr w:type="spellEnd"/>
            <w:r>
              <w:rPr>
                <w:rFonts w:ascii="Calibri" w:eastAsia="Calibri" w:hAnsi="Calibri"/>
                <w:color w:val="3B3838" w:themeColor="background2" w:themeShade="40"/>
                <w:sz w:val="20"/>
                <w:szCs w:val="20"/>
                <w:lang w:eastAsia="es-MX"/>
              </w:rPr>
              <w:t xml:space="preserve"> Garrido Balam</w:t>
            </w:r>
          </w:p>
          <w:p w14:paraId="017BA17D" w14:textId="77777777" w:rsidR="00E607B3" w:rsidRDefault="00BD51BA" w:rsidP="0097323A">
            <w:pPr>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r>
              <w:rPr>
                <w:rFonts w:ascii="Calibri" w:eastAsia="Calibri" w:hAnsi="Calibri"/>
                <w:color w:val="3B3838" w:themeColor="background2" w:themeShade="40"/>
                <w:sz w:val="20"/>
                <w:szCs w:val="20"/>
                <w:lang w:eastAsia="es-MX"/>
              </w:rPr>
              <w:t xml:space="preserve">Lic. José Luis Cuevas </w:t>
            </w:r>
            <w:proofErr w:type="spellStart"/>
            <w:r>
              <w:rPr>
                <w:rFonts w:ascii="Calibri" w:eastAsia="Calibri" w:hAnsi="Calibri"/>
                <w:color w:val="3B3838" w:themeColor="background2" w:themeShade="40"/>
                <w:sz w:val="20"/>
                <w:szCs w:val="20"/>
                <w:lang w:eastAsia="es-MX"/>
              </w:rPr>
              <w:t>Cortazar</w:t>
            </w:r>
            <w:proofErr w:type="spellEnd"/>
          </w:p>
          <w:p w14:paraId="7EEED93A" w14:textId="77777777" w:rsidR="00BD51BA" w:rsidRPr="0003342C" w:rsidRDefault="00BD51BA" w:rsidP="0097323A">
            <w:pPr>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proofErr w:type="spellStart"/>
            <w:r>
              <w:rPr>
                <w:rFonts w:ascii="Calibri" w:eastAsia="Calibri" w:hAnsi="Calibri"/>
                <w:color w:val="3B3838" w:themeColor="background2" w:themeShade="40"/>
                <w:sz w:val="20"/>
                <w:szCs w:val="20"/>
                <w:lang w:eastAsia="es-MX"/>
              </w:rPr>
              <w:t>C.P.Adrián</w:t>
            </w:r>
            <w:proofErr w:type="spellEnd"/>
            <w:r>
              <w:rPr>
                <w:rFonts w:ascii="Calibri" w:eastAsia="Calibri" w:hAnsi="Calibri"/>
                <w:color w:val="3B3838" w:themeColor="background2" w:themeShade="40"/>
                <w:sz w:val="20"/>
                <w:szCs w:val="20"/>
                <w:lang w:eastAsia="es-MX"/>
              </w:rPr>
              <w:t xml:space="preserve"> Mena </w:t>
            </w:r>
            <w:proofErr w:type="spellStart"/>
            <w:r>
              <w:rPr>
                <w:rFonts w:ascii="Calibri" w:eastAsia="Calibri" w:hAnsi="Calibri"/>
                <w:color w:val="3B3838" w:themeColor="background2" w:themeShade="40"/>
                <w:sz w:val="20"/>
                <w:szCs w:val="20"/>
                <w:lang w:eastAsia="es-MX"/>
              </w:rPr>
              <w:t>Chavez</w:t>
            </w:r>
            <w:proofErr w:type="spellEnd"/>
          </w:p>
          <w:p w14:paraId="2C107557" w14:textId="77777777" w:rsidR="00E607B3" w:rsidRPr="0003342C" w:rsidRDefault="00E607B3" w:rsidP="0097323A">
            <w:pPr>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r w:rsidRPr="0003342C">
              <w:rPr>
                <w:rFonts w:ascii="Calibri" w:eastAsia="Arial" w:hAnsi="Calibri"/>
                <w:color w:val="3B3838" w:themeColor="background2" w:themeShade="40"/>
                <w:sz w:val="20"/>
                <w:szCs w:val="20"/>
              </w:rPr>
              <w:t>Br. Shirley Mayte Dzib Miss.</w:t>
            </w:r>
          </w:p>
        </w:tc>
      </w:tr>
      <w:tr w:rsidR="00E607B3" w:rsidRPr="0003342C" w14:paraId="60CE85E1" w14:textId="77777777" w:rsidTr="00BD51BA">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BDB880"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4.5. Correo Electrónico del coordinador de la evaluación</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5BDA31" w14:textId="77777777" w:rsidR="00E607B3" w:rsidRPr="0003342C" w:rsidRDefault="00E607B3" w:rsidP="0072756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Marlinkgarridobalam@gmail.com</w:t>
            </w:r>
          </w:p>
        </w:tc>
      </w:tr>
      <w:tr w:rsidR="00E607B3" w:rsidRPr="0003342C" w14:paraId="2B747A9E" w14:textId="77777777" w:rsidTr="00BD5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F30125"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4.6. Teléfono (con clave lada)</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7FE4AD" w14:textId="77777777" w:rsidR="00E607B3" w:rsidRPr="0003342C" w:rsidRDefault="00E607B3" w:rsidP="0072756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938 1</w:t>
            </w:r>
            <w:r w:rsidR="00012678">
              <w:rPr>
                <w:rFonts w:ascii="Calibri" w:eastAsia="Calibri" w:hAnsi="Calibri"/>
                <w:color w:val="3B3838" w:themeColor="background2" w:themeShade="40"/>
                <w:sz w:val="20"/>
                <w:szCs w:val="20"/>
                <w:lang w:eastAsia="es-MX"/>
              </w:rPr>
              <w:t>212175</w:t>
            </w:r>
            <w:r w:rsidRPr="0003342C">
              <w:rPr>
                <w:rFonts w:ascii="Calibri" w:eastAsia="Calibri" w:hAnsi="Calibri"/>
                <w:color w:val="3B3838" w:themeColor="background2" w:themeShade="40"/>
                <w:sz w:val="20"/>
                <w:szCs w:val="20"/>
                <w:lang w:eastAsia="es-MX"/>
              </w:rPr>
              <w:t xml:space="preserve"> </w:t>
            </w:r>
          </w:p>
        </w:tc>
      </w:tr>
      <w:tr w:rsidR="00E607B3" w:rsidRPr="0003342C" w14:paraId="062CE7DD" w14:textId="77777777" w:rsidTr="00727561">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90DAF6"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5. IDENTIFICACIÓN DE LOS PROGRAMAS</w:t>
            </w:r>
          </w:p>
        </w:tc>
      </w:tr>
      <w:tr w:rsidR="00E607B3" w:rsidRPr="0003342C" w14:paraId="1DDB5675" w14:textId="77777777" w:rsidTr="0072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C7AA42"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 xml:space="preserve">5.1. Nombre del programa evaluado. </w:t>
            </w:r>
            <w:r w:rsidR="0097323A">
              <w:rPr>
                <w:rFonts w:ascii="Calibri" w:eastAsia="Calibri" w:hAnsi="Calibri"/>
                <w:color w:val="3B3838" w:themeColor="background2" w:themeShade="40"/>
                <w:sz w:val="20"/>
                <w:szCs w:val="20"/>
                <w:lang w:eastAsia="es-MX"/>
              </w:rPr>
              <w:t xml:space="preserve"> </w:t>
            </w:r>
            <w:r w:rsidR="0097323A" w:rsidRPr="0097323A">
              <w:rPr>
                <w:rFonts w:ascii="Calibri" w:eastAsia="Calibri" w:hAnsi="Calibri"/>
                <w:b w:val="0"/>
                <w:bCs w:val="0"/>
                <w:color w:val="3B3838" w:themeColor="background2" w:themeShade="40"/>
                <w:sz w:val="20"/>
                <w:szCs w:val="20"/>
                <w:lang w:eastAsia="es-MX"/>
              </w:rPr>
              <w:t>Fondo de Aportaciones para el Fortalecimiento de los Municipios (FORTAMUN) del año 2023, en el municipio de Calkiní, Campeche</w:t>
            </w:r>
            <w:r w:rsidR="0097323A">
              <w:rPr>
                <w:rStyle w:val="oypena"/>
                <w:color w:val="454A51"/>
              </w:rPr>
              <w:t>.</w:t>
            </w:r>
          </w:p>
        </w:tc>
      </w:tr>
      <w:tr w:rsidR="00E607B3" w:rsidRPr="0003342C" w14:paraId="700812C1" w14:textId="77777777" w:rsidTr="00BD51BA">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908DFD"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 xml:space="preserve">5.2. Siglas. </w:t>
            </w:r>
            <w:r w:rsidR="0097323A">
              <w:rPr>
                <w:rFonts w:ascii="Calibri" w:eastAsia="Calibri" w:hAnsi="Calibri"/>
                <w:color w:val="3B3838" w:themeColor="background2" w:themeShade="40"/>
                <w:sz w:val="20"/>
                <w:szCs w:val="20"/>
                <w:lang w:eastAsia="es-MX"/>
              </w:rPr>
              <w:t>FORTAMUN.</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A3E152" w14:textId="77777777" w:rsidR="00E607B3" w:rsidRPr="0003342C" w:rsidRDefault="00E607B3" w:rsidP="0072756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olor w:val="3B3838" w:themeColor="background2" w:themeShade="40"/>
                <w:sz w:val="20"/>
                <w:szCs w:val="20"/>
                <w:lang w:eastAsia="es-MX"/>
              </w:rPr>
            </w:pPr>
          </w:p>
        </w:tc>
      </w:tr>
      <w:tr w:rsidR="00E607B3" w:rsidRPr="0003342C" w14:paraId="0B71D962" w14:textId="77777777" w:rsidTr="0072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C472B9" w14:textId="77777777" w:rsidR="00E607B3" w:rsidRPr="0003342C" w:rsidRDefault="00E607B3" w:rsidP="00727561">
            <w:pPr>
              <w:spacing w:line="360" w:lineRule="auto"/>
              <w:jc w:val="both"/>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5.3. Ente Público coordinador de los programas. Obras públicas/ Desarrollo Social/servicios púb</w:t>
            </w:r>
            <w:r w:rsidRPr="0003342C">
              <w:rPr>
                <w:rFonts w:ascii="Calibri" w:eastAsia="Calibri" w:hAnsi="Calibri"/>
                <w:color w:val="3B3838" w:themeColor="background2" w:themeShade="40"/>
                <w:sz w:val="20"/>
                <w:szCs w:val="20"/>
              </w:rPr>
              <w:t>licos/ Organismo Operador del Servicio de Limpia/ Secretaría de Seguridad Ciudadana/ Tesorería Municipal</w:t>
            </w:r>
          </w:p>
        </w:tc>
      </w:tr>
      <w:tr w:rsidR="00E607B3" w:rsidRPr="0003342C" w14:paraId="772D3ED7" w14:textId="77777777" w:rsidTr="00727561">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AD4498"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5.4. Poder Público al que pertenecen los programas</w:t>
            </w:r>
          </w:p>
        </w:tc>
      </w:tr>
      <w:tr w:rsidR="00E607B3" w:rsidRPr="0003342C" w14:paraId="68DBC41B" w14:textId="77777777" w:rsidTr="0072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D0A878"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 xml:space="preserve">Poder ejecutivo </w:t>
            </w:r>
            <w:r w:rsidRPr="0003342C">
              <w:rPr>
                <w:rFonts w:ascii="Calibri" w:eastAsia="Calibri" w:hAnsi="Calibri"/>
                <w:color w:val="3B3838" w:themeColor="background2" w:themeShade="40"/>
                <w:sz w:val="20"/>
                <w:szCs w:val="20"/>
                <w:u w:val="single"/>
                <w:lang w:eastAsia="es-MX"/>
              </w:rPr>
              <w:t>X</w:t>
            </w:r>
            <w:r w:rsidRPr="0003342C">
              <w:rPr>
                <w:rFonts w:ascii="Calibri" w:eastAsia="Calibri" w:hAnsi="Calibri"/>
                <w:color w:val="3B3838" w:themeColor="background2" w:themeShade="40"/>
                <w:sz w:val="20"/>
                <w:szCs w:val="20"/>
                <w:lang w:eastAsia="es-MX"/>
              </w:rPr>
              <w:t xml:space="preserve">   Poder legislativo_____ Poder Judicial    Ente autónomo</w:t>
            </w:r>
          </w:p>
        </w:tc>
      </w:tr>
      <w:tr w:rsidR="00E607B3" w:rsidRPr="0003342C" w14:paraId="44C98CFB" w14:textId="77777777" w:rsidTr="00727561">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FF28B5"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5.5. Ámbito gubernamental al que pertenecen los programas</w:t>
            </w:r>
          </w:p>
        </w:tc>
      </w:tr>
      <w:tr w:rsidR="00E607B3" w:rsidRPr="0003342C" w14:paraId="3EEF6499" w14:textId="77777777" w:rsidTr="0072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32623D"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Federal</w:t>
            </w:r>
            <w:r w:rsidRPr="0003342C">
              <w:rPr>
                <w:rFonts w:ascii="Calibri" w:eastAsia="Calibri" w:hAnsi="Calibri"/>
                <w:color w:val="3B3838" w:themeColor="background2" w:themeShade="40"/>
                <w:sz w:val="20"/>
                <w:szCs w:val="20"/>
                <w:u w:val="single"/>
                <w:lang w:eastAsia="es-MX"/>
              </w:rPr>
              <w:t xml:space="preserve"> X </w:t>
            </w:r>
            <w:r w:rsidRPr="0003342C">
              <w:rPr>
                <w:rFonts w:ascii="Calibri" w:eastAsia="Calibri" w:hAnsi="Calibri"/>
                <w:color w:val="3B3838" w:themeColor="background2" w:themeShade="40"/>
                <w:sz w:val="20"/>
                <w:szCs w:val="20"/>
                <w:lang w:eastAsia="es-MX"/>
              </w:rPr>
              <w:t xml:space="preserve">  Estatal____ Municipal____</w:t>
            </w:r>
          </w:p>
        </w:tc>
      </w:tr>
      <w:tr w:rsidR="00E607B3" w:rsidRPr="0003342C" w14:paraId="348EC0CD" w14:textId="77777777" w:rsidTr="00727561">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F32265"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5.6. Nombre de las unidades administrativa y de los titulares a cargo de los programas.</w:t>
            </w:r>
          </w:p>
          <w:p w14:paraId="0A7B3AE3" w14:textId="77777777" w:rsidR="00E607B3" w:rsidRPr="0003342C" w:rsidRDefault="00E607B3" w:rsidP="00727561">
            <w:pPr>
              <w:contextualSpacing/>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 xml:space="preserve"> </w:t>
            </w:r>
          </w:p>
        </w:tc>
      </w:tr>
      <w:tr w:rsidR="00E607B3" w:rsidRPr="0003342C" w14:paraId="5901CD95" w14:textId="77777777" w:rsidTr="0072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874F80" w14:textId="77777777" w:rsidR="00E607B3" w:rsidRPr="0003342C" w:rsidRDefault="00E607B3" w:rsidP="0097323A">
            <w:pPr>
              <w:spacing w:line="360" w:lineRule="auto"/>
              <w:jc w:val="both"/>
              <w:rPr>
                <w:rFonts w:ascii="Calibri" w:eastAsia="Calibri" w:hAnsi="Calibri" w:cs="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5.61. Nombre de las unidades administrativas a cargo de los programas (nombre completo, correo electrónico, lada)</w:t>
            </w:r>
            <w:r w:rsidR="0097323A" w:rsidRPr="0003342C">
              <w:rPr>
                <w:rFonts w:ascii="Calibri" w:eastAsia="Calibri" w:hAnsi="Calibri" w:cs="Calibri"/>
                <w:color w:val="3B3838" w:themeColor="background2" w:themeShade="40"/>
                <w:sz w:val="20"/>
                <w:szCs w:val="20"/>
                <w:lang w:eastAsia="es-MX"/>
              </w:rPr>
              <w:t xml:space="preserve"> </w:t>
            </w:r>
          </w:p>
        </w:tc>
      </w:tr>
      <w:tr w:rsidR="00E607B3" w:rsidRPr="0003342C" w14:paraId="04805A9F" w14:textId="77777777" w:rsidTr="00BD51BA">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38BAD3"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64077E" w14:textId="77777777" w:rsidR="00E607B3" w:rsidRPr="0003342C" w:rsidRDefault="00E607B3" w:rsidP="0072756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olor w:val="3B3838" w:themeColor="background2" w:themeShade="40"/>
                <w:sz w:val="20"/>
                <w:szCs w:val="20"/>
                <w:lang w:eastAsia="es-MX"/>
              </w:rPr>
            </w:pPr>
          </w:p>
        </w:tc>
      </w:tr>
      <w:tr w:rsidR="00E607B3" w:rsidRPr="0003342C" w14:paraId="23D7EACF" w14:textId="77777777" w:rsidTr="00BD5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21442D"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Nombre:</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4157F3" w14:textId="77777777" w:rsidR="00E607B3" w:rsidRPr="0003342C" w:rsidRDefault="00E607B3" w:rsidP="0072756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Unidad administrativa</w:t>
            </w:r>
          </w:p>
        </w:tc>
      </w:tr>
      <w:tr w:rsidR="00E607B3" w:rsidRPr="0003342C" w14:paraId="7FEEE6D0" w14:textId="77777777" w:rsidTr="00BD51BA">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57BF66"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6. DATOS DE CONTRATACIÓN</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66860" w14:textId="77777777" w:rsidR="00E607B3" w:rsidRPr="0003342C" w:rsidRDefault="00E607B3" w:rsidP="0072756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olor w:val="3B3838" w:themeColor="background2" w:themeShade="40"/>
                <w:sz w:val="20"/>
                <w:szCs w:val="20"/>
                <w:lang w:eastAsia="es-MX"/>
              </w:rPr>
            </w:pPr>
          </w:p>
        </w:tc>
      </w:tr>
      <w:tr w:rsidR="00E607B3" w:rsidRPr="0003342C" w14:paraId="646E2A24" w14:textId="77777777" w:rsidTr="00BD5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19C5C2"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6.1. Tipo de contratación</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C45141" w14:textId="77777777" w:rsidR="00E607B3" w:rsidRPr="0003342C" w:rsidRDefault="00E607B3" w:rsidP="0072756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p>
        </w:tc>
      </w:tr>
      <w:tr w:rsidR="00E607B3" w:rsidRPr="0003342C" w14:paraId="578E4A4A" w14:textId="77777777" w:rsidTr="00BD51BA">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5386E9"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6.1.1. Adjudicación Directa: X</w:t>
            </w:r>
          </w:p>
          <w:p w14:paraId="2C6B7EB3"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 xml:space="preserve">6.1.2. Invitación a cuando menos tres </w:t>
            </w:r>
          </w:p>
          <w:p w14:paraId="32E85BCA"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6.1.3. Licitación pública nacional</w:t>
            </w:r>
          </w:p>
          <w:p w14:paraId="17162828"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6.1.4. Licitación pública Internacional</w:t>
            </w:r>
          </w:p>
          <w:p w14:paraId="480F3CDB"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6.1.5. Otro (señalar</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E6B7D" w14:textId="77777777" w:rsidR="00E607B3" w:rsidRPr="0003342C" w:rsidRDefault="00E607B3" w:rsidP="0072756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olor w:val="3B3838" w:themeColor="background2" w:themeShade="40"/>
                <w:sz w:val="20"/>
                <w:szCs w:val="20"/>
                <w:lang w:eastAsia="es-MX"/>
              </w:rPr>
            </w:pPr>
          </w:p>
        </w:tc>
      </w:tr>
      <w:tr w:rsidR="00E607B3" w:rsidRPr="0003342C" w14:paraId="70980F4C" w14:textId="77777777" w:rsidTr="00BD5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C4D559" w14:textId="77777777" w:rsidR="00E607B3" w:rsidRPr="0003342C" w:rsidRDefault="00E607B3" w:rsidP="00727561">
            <w:pPr>
              <w:spacing w:line="276" w:lineRule="auto"/>
              <w:jc w:val="both"/>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6.2. Unidad administrativa responsable de contratar la evaluación.</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39705B" w14:textId="77777777" w:rsidR="00E607B3" w:rsidRPr="0003342C" w:rsidRDefault="00E607B3" w:rsidP="0072756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p>
        </w:tc>
      </w:tr>
      <w:tr w:rsidR="00E607B3" w:rsidRPr="0003342C" w14:paraId="227E844C" w14:textId="77777777" w:rsidTr="00BD51BA">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8FD851"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6.3. Costo total de la evaluación.</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6A4FA6" w14:textId="77777777" w:rsidR="00E607B3" w:rsidRPr="0003342C" w:rsidRDefault="00E607B3" w:rsidP="0072756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$1</w:t>
            </w:r>
            <w:r w:rsidR="0097323A">
              <w:rPr>
                <w:rFonts w:ascii="Calibri" w:eastAsia="Calibri" w:hAnsi="Calibri"/>
                <w:color w:val="3B3838" w:themeColor="background2" w:themeShade="40"/>
                <w:sz w:val="20"/>
                <w:szCs w:val="20"/>
                <w:lang w:eastAsia="es-MX"/>
              </w:rPr>
              <w:t>4</w:t>
            </w:r>
            <w:r w:rsidRPr="0003342C">
              <w:rPr>
                <w:rFonts w:ascii="Calibri" w:eastAsia="Calibri" w:hAnsi="Calibri"/>
                <w:color w:val="3B3838" w:themeColor="background2" w:themeShade="40"/>
                <w:sz w:val="20"/>
                <w:szCs w:val="20"/>
                <w:lang w:eastAsia="es-MX"/>
              </w:rPr>
              <w:t>0 mil pesos más impuestos</w:t>
            </w:r>
            <w:r w:rsidR="0097323A">
              <w:rPr>
                <w:rFonts w:ascii="Calibri" w:eastAsia="Calibri" w:hAnsi="Calibri"/>
                <w:color w:val="3B3838" w:themeColor="background2" w:themeShade="40"/>
                <w:sz w:val="20"/>
                <w:szCs w:val="20"/>
                <w:lang w:eastAsia="es-MX"/>
              </w:rPr>
              <w:t>, menos retenciones.</w:t>
            </w:r>
          </w:p>
        </w:tc>
      </w:tr>
      <w:tr w:rsidR="00E607B3" w:rsidRPr="0003342C" w14:paraId="748613FA" w14:textId="77777777" w:rsidTr="00BD5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A62E26" w14:textId="77777777" w:rsidR="00E607B3" w:rsidRPr="0003342C" w:rsidRDefault="00E607B3" w:rsidP="00727561">
            <w:pPr>
              <w:spacing w:line="360" w:lineRule="auto"/>
              <w:rPr>
                <w:rFonts w:ascii="Calibri" w:eastAsia="Calibri" w:hAnsi="Calibri"/>
                <w:color w:val="3B3838" w:themeColor="background2" w:themeShade="40"/>
                <w:sz w:val="20"/>
                <w:szCs w:val="20"/>
                <w:lang w:eastAsia="es-MX"/>
              </w:rPr>
            </w:pPr>
            <w:r w:rsidRPr="0003342C">
              <w:rPr>
                <w:rFonts w:ascii="Calibri" w:eastAsia="Calibri" w:hAnsi="Calibri"/>
                <w:color w:val="3B3838" w:themeColor="background2" w:themeShade="40"/>
                <w:sz w:val="20"/>
                <w:szCs w:val="20"/>
                <w:lang w:eastAsia="es-MX"/>
              </w:rPr>
              <w:t>6.4. Fuente de Financiamiento</w:t>
            </w:r>
          </w:p>
        </w:tc>
        <w:tc>
          <w:tcPr>
            <w:tcW w:w="5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56025" w14:textId="77777777" w:rsidR="00E607B3" w:rsidRPr="0003342C" w:rsidRDefault="0097323A" w:rsidP="0072756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olor w:val="3B3838" w:themeColor="background2" w:themeShade="40"/>
                <w:sz w:val="20"/>
                <w:szCs w:val="20"/>
                <w:lang w:eastAsia="es-MX"/>
              </w:rPr>
            </w:pPr>
            <w:r>
              <w:rPr>
                <w:rFonts w:ascii="Calibri" w:eastAsia="Calibri" w:hAnsi="Calibri"/>
                <w:color w:val="3B3838" w:themeColor="background2" w:themeShade="40"/>
                <w:sz w:val="20"/>
                <w:szCs w:val="20"/>
                <w:lang w:eastAsia="es-MX"/>
              </w:rPr>
              <w:t>50% propios y el restante con cargo al fondo Auditado.</w:t>
            </w:r>
          </w:p>
        </w:tc>
      </w:tr>
    </w:tbl>
    <w:p w14:paraId="56B941EC" w14:textId="77777777" w:rsidR="00E607B3" w:rsidRPr="008932DC" w:rsidRDefault="00E607B3" w:rsidP="00E607B3">
      <w:pPr>
        <w:jc w:val="center"/>
        <w:rPr>
          <w:rFonts w:asciiTheme="minorHAnsi" w:hAnsiTheme="minorHAnsi" w:cstheme="minorHAnsi"/>
          <w:lang w:val="es-ES"/>
        </w:rPr>
      </w:pPr>
    </w:p>
    <w:p w14:paraId="1C22EE5A" w14:textId="77777777" w:rsidR="00E607B3" w:rsidRPr="008932DC" w:rsidRDefault="00E607B3" w:rsidP="00E607B3">
      <w:pPr>
        <w:rPr>
          <w:rFonts w:asciiTheme="minorHAnsi" w:eastAsia="Arial" w:hAnsiTheme="minorHAnsi" w:cstheme="minorHAnsi"/>
        </w:rPr>
      </w:pPr>
    </w:p>
    <w:p w14:paraId="031EB097" w14:textId="77777777" w:rsidR="00727561" w:rsidRDefault="00727561">
      <w:pPr>
        <w:spacing w:after="160" w:line="259" w:lineRule="auto"/>
      </w:pPr>
      <w:r>
        <w:br w:type="page"/>
      </w:r>
    </w:p>
    <w:p w14:paraId="4B6945AE" w14:textId="77777777" w:rsidR="00914045" w:rsidRPr="00E607B3" w:rsidRDefault="00914045" w:rsidP="00E607B3"/>
    <w:sectPr w:rsidR="00914045" w:rsidRPr="00E607B3" w:rsidSect="001324B2">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5A6"/>
    <w:multiLevelType w:val="hybridMultilevel"/>
    <w:tmpl w:val="283E5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EE275A"/>
    <w:multiLevelType w:val="multilevel"/>
    <w:tmpl w:val="D03C1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4A1"/>
    <w:multiLevelType w:val="multilevel"/>
    <w:tmpl w:val="B102179E"/>
    <w:lvl w:ilvl="0">
      <w:start w:val="1"/>
      <w:numFmt w:val="decimal"/>
      <w:lvlText w:val="%1."/>
      <w:lvlJc w:val="left"/>
      <w:pPr>
        <w:ind w:left="720" w:hanging="360"/>
      </w:pPr>
    </w:lvl>
    <w:lvl w:ilvl="1">
      <w:start w:val="2"/>
      <w:numFmt w:val="decimal"/>
      <w:isLgl/>
      <w:lvlText w:val="%1.%2."/>
      <w:lvlJc w:val="left"/>
      <w:pPr>
        <w:ind w:left="885" w:hanging="525"/>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E603AAE"/>
    <w:multiLevelType w:val="hybridMultilevel"/>
    <w:tmpl w:val="E8F46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A75D79"/>
    <w:multiLevelType w:val="hybridMultilevel"/>
    <w:tmpl w:val="59D82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4B390D"/>
    <w:multiLevelType w:val="hybridMultilevel"/>
    <w:tmpl w:val="EC0E8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496047"/>
    <w:multiLevelType w:val="multilevel"/>
    <w:tmpl w:val="D03C1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45914"/>
    <w:multiLevelType w:val="hybridMultilevel"/>
    <w:tmpl w:val="59966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C6C4E"/>
    <w:multiLevelType w:val="multilevel"/>
    <w:tmpl w:val="D03C1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33CE0"/>
    <w:multiLevelType w:val="hybridMultilevel"/>
    <w:tmpl w:val="5A54C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CA63D5"/>
    <w:multiLevelType w:val="multilevel"/>
    <w:tmpl w:val="D03C1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37286B"/>
    <w:multiLevelType w:val="multilevel"/>
    <w:tmpl w:val="D03C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3"/>
  </w:num>
  <w:num w:numId="5">
    <w:abstractNumId w:val="5"/>
  </w:num>
  <w:num w:numId="6">
    <w:abstractNumId w:val="0"/>
  </w:num>
  <w:num w:numId="7">
    <w:abstractNumId w:val="9"/>
  </w:num>
  <w:num w:numId="8">
    <w:abstractNumId w:val="11"/>
  </w:num>
  <w:num w:numId="9">
    <w:abstractNumId w:val="1"/>
  </w:num>
  <w:num w:numId="10">
    <w:abstractNumId w:val="8"/>
  </w:num>
  <w:num w:numId="11">
    <w:abstractNumId w:val="10"/>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B3"/>
    <w:rsid w:val="00012678"/>
    <w:rsid w:val="0007308A"/>
    <w:rsid w:val="001324B2"/>
    <w:rsid w:val="002665D5"/>
    <w:rsid w:val="003543A9"/>
    <w:rsid w:val="003A1823"/>
    <w:rsid w:val="004839C6"/>
    <w:rsid w:val="00727561"/>
    <w:rsid w:val="00914045"/>
    <w:rsid w:val="0097323A"/>
    <w:rsid w:val="00994307"/>
    <w:rsid w:val="00A114BD"/>
    <w:rsid w:val="00AF342C"/>
    <w:rsid w:val="00B24B9A"/>
    <w:rsid w:val="00BD51BA"/>
    <w:rsid w:val="00CC040E"/>
    <w:rsid w:val="00E607B3"/>
    <w:rsid w:val="00FA04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7DA6"/>
  <w15:chartTrackingRefBased/>
  <w15:docId w15:val="{F1DA1E32-3F3D-44C8-9C38-7E28B7AF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7B3"/>
    <w:pPr>
      <w:spacing w:after="0" w:line="240" w:lineRule="auto"/>
    </w:pPr>
    <w:rPr>
      <w:rFonts w:ascii="Arial" w:eastAsia="Times New Roman" w:hAnsi="Arial" w:cs="Times New Roman"/>
      <w:szCs w:val="24"/>
    </w:rPr>
  </w:style>
  <w:style w:type="paragraph" w:styleId="Ttulo2">
    <w:name w:val="heading 2"/>
    <w:basedOn w:val="Normal"/>
    <w:next w:val="Normal"/>
    <w:link w:val="Ttulo2Car"/>
    <w:uiPriority w:val="9"/>
    <w:unhideWhenUsed/>
    <w:qFormat/>
    <w:rsid w:val="00E607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665D5"/>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607B3"/>
    <w:rPr>
      <w:rFonts w:asciiTheme="majorHAnsi" w:eastAsiaTheme="majorEastAsia" w:hAnsiTheme="majorHAnsi" w:cstheme="majorBidi"/>
      <w:color w:val="2F5496" w:themeColor="accent1" w:themeShade="BF"/>
      <w:sz w:val="26"/>
      <w:szCs w:val="26"/>
    </w:rPr>
  </w:style>
  <w:style w:type="paragraph" w:styleId="Prrafodelista">
    <w:name w:val="List Paragraph"/>
    <w:aliases w:val="lp1,List Paragraph11,Bullet List,FooterText,numbered,Paragraphe de liste1,Bulletr List Paragraph,列出段落,列出段落1,Scitum normal,Listas,Colorful List - Accent 11,List Paragraph,No Spacing1,List Paragraph1,Figuras,DH1"/>
    <w:basedOn w:val="Normal"/>
    <w:link w:val="PrrafodelistaCar"/>
    <w:uiPriority w:val="34"/>
    <w:qFormat/>
    <w:rsid w:val="00E607B3"/>
    <w:pPr>
      <w:ind w:left="720"/>
      <w:contextualSpacing/>
    </w:pPr>
    <w:rPr>
      <w:rFonts w:ascii="Times" w:eastAsia="Times" w:hAnsi="Times"/>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Scitum normal Car,Listas Car,Colorful List - Accent 11 Car,List Paragraph Car,DH1 Car"/>
    <w:link w:val="Prrafodelista"/>
    <w:uiPriority w:val="34"/>
    <w:qFormat/>
    <w:rsid w:val="00E607B3"/>
    <w:rPr>
      <w:rFonts w:ascii="Times" w:eastAsia="Times" w:hAnsi="Times" w:cs="Times New Roman"/>
      <w:szCs w:val="20"/>
      <w:lang w:val="es-ES_tradnl" w:eastAsia="es-ES"/>
    </w:rPr>
  </w:style>
  <w:style w:type="table" w:customStyle="1" w:styleId="Tablanormal14">
    <w:name w:val="Tabla normal 14"/>
    <w:basedOn w:val="Tablanormal"/>
    <w:next w:val="Tablanormal1"/>
    <w:uiPriority w:val="41"/>
    <w:rsid w:val="00E607B3"/>
    <w:pPr>
      <w:spacing w:after="0" w:line="240" w:lineRule="auto"/>
    </w:pPr>
    <w:rPr>
      <w:rFonts w:ascii="Calibri" w:eastAsia="Calibri" w:hAnsi="Calibri" w:cs="Calibr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5">
    <w:name w:val="Tabla normal 15"/>
    <w:basedOn w:val="Tablanormal"/>
    <w:next w:val="Tablanormal1"/>
    <w:uiPriority w:val="41"/>
    <w:rsid w:val="00E607B3"/>
    <w:pPr>
      <w:spacing w:after="0" w:line="240" w:lineRule="auto"/>
    </w:pPr>
    <w:rPr>
      <w:rFonts w:ascii="Calibri" w:eastAsia="Calibri" w:hAnsi="Calibri" w:cs="Calibr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E607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basedOn w:val="Fuentedeprrafopredeter"/>
    <w:uiPriority w:val="22"/>
    <w:qFormat/>
    <w:rsid w:val="00AF342C"/>
    <w:rPr>
      <w:b/>
      <w:bCs/>
    </w:rPr>
  </w:style>
  <w:style w:type="character" w:customStyle="1" w:styleId="Ttulo3Car">
    <w:name w:val="Título 3 Car"/>
    <w:basedOn w:val="Fuentedeprrafopredeter"/>
    <w:link w:val="Ttulo3"/>
    <w:uiPriority w:val="9"/>
    <w:rsid w:val="002665D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27561"/>
    <w:pPr>
      <w:spacing w:before="100" w:beforeAutospacing="1" w:after="100" w:afterAutospacing="1"/>
    </w:pPr>
    <w:rPr>
      <w:rFonts w:ascii="Times New Roman" w:hAnsi="Times New Roman"/>
      <w:sz w:val="24"/>
      <w:lang w:eastAsia="es-MX"/>
    </w:rPr>
  </w:style>
  <w:style w:type="character" w:customStyle="1" w:styleId="export-sheets-button">
    <w:name w:val="export-sheets-button"/>
    <w:basedOn w:val="Fuentedeprrafopredeter"/>
    <w:rsid w:val="00727561"/>
  </w:style>
  <w:style w:type="character" w:styleId="nfasis">
    <w:name w:val="Emphasis"/>
    <w:basedOn w:val="Fuentedeprrafopredeter"/>
    <w:uiPriority w:val="20"/>
    <w:qFormat/>
    <w:rsid w:val="00914045"/>
    <w:rPr>
      <w:i/>
      <w:iCs/>
    </w:rPr>
  </w:style>
  <w:style w:type="paragraph" w:customStyle="1" w:styleId="cvgsua">
    <w:name w:val="cvgsua"/>
    <w:basedOn w:val="Normal"/>
    <w:rsid w:val="0097323A"/>
    <w:pPr>
      <w:spacing w:before="100" w:beforeAutospacing="1" w:after="100" w:afterAutospacing="1"/>
    </w:pPr>
    <w:rPr>
      <w:rFonts w:ascii="Times New Roman" w:hAnsi="Times New Roman"/>
      <w:sz w:val="24"/>
      <w:lang w:eastAsia="es-MX"/>
    </w:rPr>
  </w:style>
  <w:style w:type="character" w:customStyle="1" w:styleId="oypena">
    <w:name w:val="oypena"/>
    <w:basedOn w:val="Fuentedeprrafopredeter"/>
    <w:rsid w:val="00973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074">
      <w:bodyDiv w:val="1"/>
      <w:marLeft w:val="0"/>
      <w:marRight w:val="0"/>
      <w:marTop w:val="0"/>
      <w:marBottom w:val="0"/>
      <w:divBdr>
        <w:top w:val="none" w:sz="0" w:space="0" w:color="auto"/>
        <w:left w:val="none" w:sz="0" w:space="0" w:color="auto"/>
        <w:bottom w:val="none" w:sz="0" w:space="0" w:color="auto"/>
        <w:right w:val="none" w:sz="0" w:space="0" w:color="auto"/>
      </w:divBdr>
    </w:div>
    <w:div w:id="66807597">
      <w:bodyDiv w:val="1"/>
      <w:marLeft w:val="0"/>
      <w:marRight w:val="0"/>
      <w:marTop w:val="0"/>
      <w:marBottom w:val="0"/>
      <w:divBdr>
        <w:top w:val="none" w:sz="0" w:space="0" w:color="auto"/>
        <w:left w:val="none" w:sz="0" w:space="0" w:color="auto"/>
        <w:bottom w:val="none" w:sz="0" w:space="0" w:color="auto"/>
        <w:right w:val="none" w:sz="0" w:space="0" w:color="auto"/>
      </w:divBdr>
    </w:div>
    <w:div w:id="167140769">
      <w:bodyDiv w:val="1"/>
      <w:marLeft w:val="0"/>
      <w:marRight w:val="0"/>
      <w:marTop w:val="0"/>
      <w:marBottom w:val="0"/>
      <w:divBdr>
        <w:top w:val="none" w:sz="0" w:space="0" w:color="auto"/>
        <w:left w:val="none" w:sz="0" w:space="0" w:color="auto"/>
        <w:bottom w:val="none" w:sz="0" w:space="0" w:color="auto"/>
        <w:right w:val="none" w:sz="0" w:space="0" w:color="auto"/>
      </w:divBdr>
    </w:div>
    <w:div w:id="224226430">
      <w:bodyDiv w:val="1"/>
      <w:marLeft w:val="0"/>
      <w:marRight w:val="0"/>
      <w:marTop w:val="0"/>
      <w:marBottom w:val="0"/>
      <w:divBdr>
        <w:top w:val="none" w:sz="0" w:space="0" w:color="auto"/>
        <w:left w:val="none" w:sz="0" w:space="0" w:color="auto"/>
        <w:bottom w:val="none" w:sz="0" w:space="0" w:color="auto"/>
        <w:right w:val="none" w:sz="0" w:space="0" w:color="auto"/>
      </w:divBdr>
    </w:div>
    <w:div w:id="226956880">
      <w:bodyDiv w:val="1"/>
      <w:marLeft w:val="0"/>
      <w:marRight w:val="0"/>
      <w:marTop w:val="0"/>
      <w:marBottom w:val="0"/>
      <w:divBdr>
        <w:top w:val="none" w:sz="0" w:space="0" w:color="auto"/>
        <w:left w:val="none" w:sz="0" w:space="0" w:color="auto"/>
        <w:bottom w:val="none" w:sz="0" w:space="0" w:color="auto"/>
        <w:right w:val="none" w:sz="0" w:space="0" w:color="auto"/>
      </w:divBdr>
    </w:div>
    <w:div w:id="285279834">
      <w:bodyDiv w:val="1"/>
      <w:marLeft w:val="0"/>
      <w:marRight w:val="0"/>
      <w:marTop w:val="0"/>
      <w:marBottom w:val="0"/>
      <w:divBdr>
        <w:top w:val="none" w:sz="0" w:space="0" w:color="auto"/>
        <w:left w:val="none" w:sz="0" w:space="0" w:color="auto"/>
        <w:bottom w:val="none" w:sz="0" w:space="0" w:color="auto"/>
        <w:right w:val="none" w:sz="0" w:space="0" w:color="auto"/>
      </w:divBdr>
    </w:div>
    <w:div w:id="376928311">
      <w:bodyDiv w:val="1"/>
      <w:marLeft w:val="0"/>
      <w:marRight w:val="0"/>
      <w:marTop w:val="0"/>
      <w:marBottom w:val="0"/>
      <w:divBdr>
        <w:top w:val="none" w:sz="0" w:space="0" w:color="auto"/>
        <w:left w:val="none" w:sz="0" w:space="0" w:color="auto"/>
        <w:bottom w:val="none" w:sz="0" w:space="0" w:color="auto"/>
        <w:right w:val="none" w:sz="0" w:space="0" w:color="auto"/>
      </w:divBdr>
    </w:div>
    <w:div w:id="523633775">
      <w:bodyDiv w:val="1"/>
      <w:marLeft w:val="0"/>
      <w:marRight w:val="0"/>
      <w:marTop w:val="0"/>
      <w:marBottom w:val="0"/>
      <w:divBdr>
        <w:top w:val="none" w:sz="0" w:space="0" w:color="auto"/>
        <w:left w:val="none" w:sz="0" w:space="0" w:color="auto"/>
        <w:bottom w:val="none" w:sz="0" w:space="0" w:color="auto"/>
        <w:right w:val="none" w:sz="0" w:space="0" w:color="auto"/>
      </w:divBdr>
    </w:div>
    <w:div w:id="615210415">
      <w:bodyDiv w:val="1"/>
      <w:marLeft w:val="0"/>
      <w:marRight w:val="0"/>
      <w:marTop w:val="0"/>
      <w:marBottom w:val="0"/>
      <w:divBdr>
        <w:top w:val="none" w:sz="0" w:space="0" w:color="auto"/>
        <w:left w:val="none" w:sz="0" w:space="0" w:color="auto"/>
        <w:bottom w:val="none" w:sz="0" w:space="0" w:color="auto"/>
        <w:right w:val="none" w:sz="0" w:space="0" w:color="auto"/>
      </w:divBdr>
    </w:div>
    <w:div w:id="741487004">
      <w:bodyDiv w:val="1"/>
      <w:marLeft w:val="0"/>
      <w:marRight w:val="0"/>
      <w:marTop w:val="0"/>
      <w:marBottom w:val="0"/>
      <w:divBdr>
        <w:top w:val="none" w:sz="0" w:space="0" w:color="auto"/>
        <w:left w:val="none" w:sz="0" w:space="0" w:color="auto"/>
        <w:bottom w:val="none" w:sz="0" w:space="0" w:color="auto"/>
        <w:right w:val="none" w:sz="0" w:space="0" w:color="auto"/>
      </w:divBdr>
      <w:divsChild>
        <w:div w:id="1551303167">
          <w:marLeft w:val="0"/>
          <w:marRight w:val="0"/>
          <w:marTop w:val="0"/>
          <w:marBottom w:val="0"/>
          <w:divBdr>
            <w:top w:val="none" w:sz="0" w:space="0" w:color="auto"/>
            <w:left w:val="none" w:sz="0" w:space="0" w:color="auto"/>
            <w:bottom w:val="none" w:sz="0" w:space="0" w:color="auto"/>
            <w:right w:val="none" w:sz="0" w:space="0" w:color="auto"/>
          </w:divBdr>
          <w:divsChild>
            <w:div w:id="15695536">
              <w:marLeft w:val="0"/>
              <w:marRight w:val="0"/>
              <w:marTop w:val="0"/>
              <w:marBottom w:val="0"/>
              <w:divBdr>
                <w:top w:val="none" w:sz="0" w:space="0" w:color="auto"/>
                <w:left w:val="none" w:sz="0" w:space="0" w:color="auto"/>
                <w:bottom w:val="none" w:sz="0" w:space="0" w:color="auto"/>
                <w:right w:val="none" w:sz="0" w:space="0" w:color="auto"/>
              </w:divBdr>
              <w:divsChild>
                <w:div w:id="1457603899">
                  <w:marLeft w:val="0"/>
                  <w:marRight w:val="0"/>
                  <w:marTop w:val="0"/>
                  <w:marBottom w:val="0"/>
                  <w:divBdr>
                    <w:top w:val="none" w:sz="0" w:space="0" w:color="auto"/>
                    <w:left w:val="none" w:sz="0" w:space="0" w:color="auto"/>
                    <w:bottom w:val="none" w:sz="0" w:space="0" w:color="auto"/>
                    <w:right w:val="none" w:sz="0" w:space="0" w:color="auto"/>
                  </w:divBdr>
                  <w:divsChild>
                    <w:div w:id="1490366178">
                      <w:marLeft w:val="0"/>
                      <w:marRight w:val="0"/>
                      <w:marTop w:val="0"/>
                      <w:marBottom w:val="0"/>
                      <w:divBdr>
                        <w:top w:val="none" w:sz="0" w:space="0" w:color="auto"/>
                        <w:left w:val="none" w:sz="0" w:space="0" w:color="auto"/>
                        <w:bottom w:val="none" w:sz="0" w:space="0" w:color="auto"/>
                        <w:right w:val="none" w:sz="0" w:space="0" w:color="auto"/>
                      </w:divBdr>
                    </w:div>
                    <w:div w:id="8916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451890">
      <w:bodyDiv w:val="1"/>
      <w:marLeft w:val="0"/>
      <w:marRight w:val="0"/>
      <w:marTop w:val="0"/>
      <w:marBottom w:val="0"/>
      <w:divBdr>
        <w:top w:val="none" w:sz="0" w:space="0" w:color="auto"/>
        <w:left w:val="none" w:sz="0" w:space="0" w:color="auto"/>
        <w:bottom w:val="none" w:sz="0" w:space="0" w:color="auto"/>
        <w:right w:val="none" w:sz="0" w:space="0" w:color="auto"/>
      </w:divBdr>
    </w:div>
    <w:div w:id="789252052">
      <w:bodyDiv w:val="1"/>
      <w:marLeft w:val="0"/>
      <w:marRight w:val="0"/>
      <w:marTop w:val="0"/>
      <w:marBottom w:val="0"/>
      <w:divBdr>
        <w:top w:val="none" w:sz="0" w:space="0" w:color="auto"/>
        <w:left w:val="none" w:sz="0" w:space="0" w:color="auto"/>
        <w:bottom w:val="none" w:sz="0" w:space="0" w:color="auto"/>
        <w:right w:val="none" w:sz="0" w:space="0" w:color="auto"/>
      </w:divBdr>
    </w:div>
    <w:div w:id="794761836">
      <w:bodyDiv w:val="1"/>
      <w:marLeft w:val="0"/>
      <w:marRight w:val="0"/>
      <w:marTop w:val="0"/>
      <w:marBottom w:val="0"/>
      <w:divBdr>
        <w:top w:val="none" w:sz="0" w:space="0" w:color="auto"/>
        <w:left w:val="none" w:sz="0" w:space="0" w:color="auto"/>
        <w:bottom w:val="none" w:sz="0" w:space="0" w:color="auto"/>
        <w:right w:val="none" w:sz="0" w:space="0" w:color="auto"/>
      </w:divBdr>
    </w:div>
    <w:div w:id="954680896">
      <w:bodyDiv w:val="1"/>
      <w:marLeft w:val="0"/>
      <w:marRight w:val="0"/>
      <w:marTop w:val="0"/>
      <w:marBottom w:val="0"/>
      <w:divBdr>
        <w:top w:val="none" w:sz="0" w:space="0" w:color="auto"/>
        <w:left w:val="none" w:sz="0" w:space="0" w:color="auto"/>
        <w:bottom w:val="none" w:sz="0" w:space="0" w:color="auto"/>
        <w:right w:val="none" w:sz="0" w:space="0" w:color="auto"/>
      </w:divBdr>
    </w:div>
    <w:div w:id="979501339">
      <w:bodyDiv w:val="1"/>
      <w:marLeft w:val="0"/>
      <w:marRight w:val="0"/>
      <w:marTop w:val="0"/>
      <w:marBottom w:val="0"/>
      <w:divBdr>
        <w:top w:val="none" w:sz="0" w:space="0" w:color="auto"/>
        <w:left w:val="none" w:sz="0" w:space="0" w:color="auto"/>
        <w:bottom w:val="none" w:sz="0" w:space="0" w:color="auto"/>
        <w:right w:val="none" w:sz="0" w:space="0" w:color="auto"/>
      </w:divBdr>
    </w:div>
    <w:div w:id="1060710760">
      <w:bodyDiv w:val="1"/>
      <w:marLeft w:val="0"/>
      <w:marRight w:val="0"/>
      <w:marTop w:val="0"/>
      <w:marBottom w:val="0"/>
      <w:divBdr>
        <w:top w:val="none" w:sz="0" w:space="0" w:color="auto"/>
        <w:left w:val="none" w:sz="0" w:space="0" w:color="auto"/>
        <w:bottom w:val="none" w:sz="0" w:space="0" w:color="auto"/>
        <w:right w:val="none" w:sz="0" w:space="0" w:color="auto"/>
      </w:divBdr>
    </w:div>
    <w:div w:id="1079405943">
      <w:bodyDiv w:val="1"/>
      <w:marLeft w:val="0"/>
      <w:marRight w:val="0"/>
      <w:marTop w:val="0"/>
      <w:marBottom w:val="0"/>
      <w:divBdr>
        <w:top w:val="none" w:sz="0" w:space="0" w:color="auto"/>
        <w:left w:val="none" w:sz="0" w:space="0" w:color="auto"/>
        <w:bottom w:val="none" w:sz="0" w:space="0" w:color="auto"/>
        <w:right w:val="none" w:sz="0" w:space="0" w:color="auto"/>
      </w:divBdr>
    </w:div>
    <w:div w:id="1096945611">
      <w:bodyDiv w:val="1"/>
      <w:marLeft w:val="0"/>
      <w:marRight w:val="0"/>
      <w:marTop w:val="0"/>
      <w:marBottom w:val="0"/>
      <w:divBdr>
        <w:top w:val="none" w:sz="0" w:space="0" w:color="auto"/>
        <w:left w:val="none" w:sz="0" w:space="0" w:color="auto"/>
        <w:bottom w:val="none" w:sz="0" w:space="0" w:color="auto"/>
        <w:right w:val="none" w:sz="0" w:space="0" w:color="auto"/>
      </w:divBdr>
    </w:div>
    <w:div w:id="1165517252">
      <w:bodyDiv w:val="1"/>
      <w:marLeft w:val="0"/>
      <w:marRight w:val="0"/>
      <w:marTop w:val="0"/>
      <w:marBottom w:val="0"/>
      <w:divBdr>
        <w:top w:val="none" w:sz="0" w:space="0" w:color="auto"/>
        <w:left w:val="none" w:sz="0" w:space="0" w:color="auto"/>
        <w:bottom w:val="none" w:sz="0" w:space="0" w:color="auto"/>
        <w:right w:val="none" w:sz="0" w:space="0" w:color="auto"/>
      </w:divBdr>
    </w:div>
    <w:div w:id="1174304196">
      <w:bodyDiv w:val="1"/>
      <w:marLeft w:val="0"/>
      <w:marRight w:val="0"/>
      <w:marTop w:val="0"/>
      <w:marBottom w:val="0"/>
      <w:divBdr>
        <w:top w:val="none" w:sz="0" w:space="0" w:color="auto"/>
        <w:left w:val="none" w:sz="0" w:space="0" w:color="auto"/>
        <w:bottom w:val="none" w:sz="0" w:space="0" w:color="auto"/>
        <w:right w:val="none" w:sz="0" w:space="0" w:color="auto"/>
      </w:divBdr>
    </w:div>
    <w:div w:id="1189762359">
      <w:bodyDiv w:val="1"/>
      <w:marLeft w:val="0"/>
      <w:marRight w:val="0"/>
      <w:marTop w:val="0"/>
      <w:marBottom w:val="0"/>
      <w:divBdr>
        <w:top w:val="none" w:sz="0" w:space="0" w:color="auto"/>
        <w:left w:val="none" w:sz="0" w:space="0" w:color="auto"/>
        <w:bottom w:val="none" w:sz="0" w:space="0" w:color="auto"/>
        <w:right w:val="none" w:sz="0" w:space="0" w:color="auto"/>
      </w:divBdr>
    </w:div>
    <w:div w:id="1352105592">
      <w:bodyDiv w:val="1"/>
      <w:marLeft w:val="0"/>
      <w:marRight w:val="0"/>
      <w:marTop w:val="0"/>
      <w:marBottom w:val="0"/>
      <w:divBdr>
        <w:top w:val="none" w:sz="0" w:space="0" w:color="auto"/>
        <w:left w:val="none" w:sz="0" w:space="0" w:color="auto"/>
        <w:bottom w:val="none" w:sz="0" w:space="0" w:color="auto"/>
        <w:right w:val="none" w:sz="0" w:space="0" w:color="auto"/>
      </w:divBdr>
    </w:div>
    <w:div w:id="1353724266">
      <w:bodyDiv w:val="1"/>
      <w:marLeft w:val="0"/>
      <w:marRight w:val="0"/>
      <w:marTop w:val="0"/>
      <w:marBottom w:val="0"/>
      <w:divBdr>
        <w:top w:val="none" w:sz="0" w:space="0" w:color="auto"/>
        <w:left w:val="none" w:sz="0" w:space="0" w:color="auto"/>
        <w:bottom w:val="none" w:sz="0" w:space="0" w:color="auto"/>
        <w:right w:val="none" w:sz="0" w:space="0" w:color="auto"/>
      </w:divBdr>
    </w:div>
    <w:div w:id="1398088748">
      <w:bodyDiv w:val="1"/>
      <w:marLeft w:val="0"/>
      <w:marRight w:val="0"/>
      <w:marTop w:val="0"/>
      <w:marBottom w:val="0"/>
      <w:divBdr>
        <w:top w:val="none" w:sz="0" w:space="0" w:color="auto"/>
        <w:left w:val="none" w:sz="0" w:space="0" w:color="auto"/>
        <w:bottom w:val="none" w:sz="0" w:space="0" w:color="auto"/>
        <w:right w:val="none" w:sz="0" w:space="0" w:color="auto"/>
      </w:divBdr>
    </w:div>
    <w:div w:id="1475754581">
      <w:bodyDiv w:val="1"/>
      <w:marLeft w:val="0"/>
      <w:marRight w:val="0"/>
      <w:marTop w:val="0"/>
      <w:marBottom w:val="0"/>
      <w:divBdr>
        <w:top w:val="none" w:sz="0" w:space="0" w:color="auto"/>
        <w:left w:val="none" w:sz="0" w:space="0" w:color="auto"/>
        <w:bottom w:val="none" w:sz="0" w:space="0" w:color="auto"/>
        <w:right w:val="none" w:sz="0" w:space="0" w:color="auto"/>
      </w:divBdr>
    </w:div>
    <w:div w:id="1603417538">
      <w:bodyDiv w:val="1"/>
      <w:marLeft w:val="0"/>
      <w:marRight w:val="0"/>
      <w:marTop w:val="0"/>
      <w:marBottom w:val="0"/>
      <w:divBdr>
        <w:top w:val="none" w:sz="0" w:space="0" w:color="auto"/>
        <w:left w:val="none" w:sz="0" w:space="0" w:color="auto"/>
        <w:bottom w:val="none" w:sz="0" w:space="0" w:color="auto"/>
        <w:right w:val="none" w:sz="0" w:space="0" w:color="auto"/>
      </w:divBdr>
    </w:div>
    <w:div w:id="1639452865">
      <w:bodyDiv w:val="1"/>
      <w:marLeft w:val="0"/>
      <w:marRight w:val="0"/>
      <w:marTop w:val="0"/>
      <w:marBottom w:val="0"/>
      <w:divBdr>
        <w:top w:val="none" w:sz="0" w:space="0" w:color="auto"/>
        <w:left w:val="none" w:sz="0" w:space="0" w:color="auto"/>
        <w:bottom w:val="none" w:sz="0" w:space="0" w:color="auto"/>
        <w:right w:val="none" w:sz="0" w:space="0" w:color="auto"/>
      </w:divBdr>
    </w:div>
    <w:div w:id="1688943151">
      <w:bodyDiv w:val="1"/>
      <w:marLeft w:val="0"/>
      <w:marRight w:val="0"/>
      <w:marTop w:val="0"/>
      <w:marBottom w:val="0"/>
      <w:divBdr>
        <w:top w:val="none" w:sz="0" w:space="0" w:color="auto"/>
        <w:left w:val="none" w:sz="0" w:space="0" w:color="auto"/>
        <w:bottom w:val="none" w:sz="0" w:space="0" w:color="auto"/>
        <w:right w:val="none" w:sz="0" w:space="0" w:color="auto"/>
      </w:divBdr>
    </w:div>
    <w:div w:id="1691293357">
      <w:bodyDiv w:val="1"/>
      <w:marLeft w:val="0"/>
      <w:marRight w:val="0"/>
      <w:marTop w:val="0"/>
      <w:marBottom w:val="0"/>
      <w:divBdr>
        <w:top w:val="none" w:sz="0" w:space="0" w:color="auto"/>
        <w:left w:val="none" w:sz="0" w:space="0" w:color="auto"/>
        <w:bottom w:val="none" w:sz="0" w:space="0" w:color="auto"/>
        <w:right w:val="none" w:sz="0" w:space="0" w:color="auto"/>
      </w:divBdr>
    </w:div>
    <w:div w:id="1697853215">
      <w:bodyDiv w:val="1"/>
      <w:marLeft w:val="0"/>
      <w:marRight w:val="0"/>
      <w:marTop w:val="0"/>
      <w:marBottom w:val="0"/>
      <w:divBdr>
        <w:top w:val="none" w:sz="0" w:space="0" w:color="auto"/>
        <w:left w:val="none" w:sz="0" w:space="0" w:color="auto"/>
        <w:bottom w:val="none" w:sz="0" w:space="0" w:color="auto"/>
        <w:right w:val="none" w:sz="0" w:space="0" w:color="auto"/>
      </w:divBdr>
    </w:div>
    <w:div w:id="1760633757">
      <w:bodyDiv w:val="1"/>
      <w:marLeft w:val="0"/>
      <w:marRight w:val="0"/>
      <w:marTop w:val="0"/>
      <w:marBottom w:val="0"/>
      <w:divBdr>
        <w:top w:val="none" w:sz="0" w:space="0" w:color="auto"/>
        <w:left w:val="none" w:sz="0" w:space="0" w:color="auto"/>
        <w:bottom w:val="none" w:sz="0" w:space="0" w:color="auto"/>
        <w:right w:val="none" w:sz="0" w:space="0" w:color="auto"/>
      </w:divBdr>
    </w:div>
    <w:div w:id="1854803447">
      <w:bodyDiv w:val="1"/>
      <w:marLeft w:val="0"/>
      <w:marRight w:val="0"/>
      <w:marTop w:val="0"/>
      <w:marBottom w:val="0"/>
      <w:divBdr>
        <w:top w:val="none" w:sz="0" w:space="0" w:color="auto"/>
        <w:left w:val="none" w:sz="0" w:space="0" w:color="auto"/>
        <w:bottom w:val="none" w:sz="0" w:space="0" w:color="auto"/>
        <w:right w:val="none" w:sz="0" w:space="0" w:color="auto"/>
      </w:divBdr>
    </w:div>
    <w:div w:id="1867056196">
      <w:bodyDiv w:val="1"/>
      <w:marLeft w:val="0"/>
      <w:marRight w:val="0"/>
      <w:marTop w:val="0"/>
      <w:marBottom w:val="0"/>
      <w:divBdr>
        <w:top w:val="none" w:sz="0" w:space="0" w:color="auto"/>
        <w:left w:val="none" w:sz="0" w:space="0" w:color="auto"/>
        <w:bottom w:val="none" w:sz="0" w:space="0" w:color="auto"/>
        <w:right w:val="none" w:sz="0" w:space="0" w:color="auto"/>
      </w:divBdr>
    </w:div>
    <w:div w:id="1917199895">
      <w:bodyDiv w:val="1"/>
      <w:marLeft w:val="0"/>
      <w:marRight w:val="0"/>
      <w:marTop w:val="0"/>
      <w:marBottom w:val="0"/>
      <w:divBdr>
        <w:top w:val="none" w:sz="0" w:space="0" w:color="auto"/>
        <w:left w:val="none" w:sz="0" w:space="0" w:color="auto"/>
        <w:bottom w:val="none" w:sz="0" w:space="0" w:color="auto"/>
        <w:right w:val="none" w:sz="0" w:space="0" w:color="auto"/>
      </w:divBdr>
    </w:div>
    <w:div w:id="1952200072">
      <w:bodyDiv w:val="1"/>
      <w:marLeft w:val="0"/>
      <w:marRight w:val="0"/>
      <w:marTop w:val="0"/>
      <w:marBottom w:val="0"/>
      <w:divBdr>
        <w:top w:val="none" w:sz="0" w:space="0" w:color="auto"/>
        <w:left w:val="none" w:sz="0" w:space="0" w:color="auto"/>
        <w:bottom w:val="none" w:sz="0" w:space="0" w:color="auto"/>
        <w:right w:val="none" w:sz="0" w:space="0" w:color="auto"/>
      </w:divBdr>
    </w:div>
    <w:div w:id="1984583577">
      <w:bodyDiv w:val="1"/>
      <w:marLeft w:val="0"/>
      <w:marRight w:val="0"/>
      <w:marTop w:val="0"/>
      <w:marBottom w:val="0"/>
      <w:divBdr>
        <w:top w:val="none" w:sz="0" w:space="0" w:color="auto"/>
        <w:left w:val="none" w:sz="0" w:space="0" w:color="auto"/>
        <w:bottom w:val="none" w:sz="0" w:space="0" w:color="auto"/>
        <w:right w:val="none" w:sz="0" w:space="0" w:color="auto"/>
      </w:divBdr>
    </w:div>
    <w:div w:id="2014717974">
      <w:bodyDiv w:val="1"/>
      <w:marLeft w:val="0"/>
      <w:marRight w:val="0"/>
      <w:marTop w:val="0"/>
      <w:marBottom w:val="0"/>
      <w:divBdr>
        <w:top w:val="none" w:sz="0" w:space="0" w:color="auto"/>
        <w:left w:val="none" w:sz="0" w:space="0" w:color="auto"/>
        <w:bottom w:val="none" w:sz="0" w:space="0" w:color="auto"/>
        <w:right w:val="none" w:sz="0" w:space="0" w:color="auto"/>
      </w:divBdr>
    </w:div>
    <w:div w:id="21286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2962</Words>
  <Characters>16295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Marlin Garrido</dc:creator>
  <cp:keywords/>
  <dc:description/>
  <cp:lastModifiedBy>PROGRAMAS FEDERALES</cp:lastModifiedBy>
  <cp:revision>3</cp:revision>
  <cp:lastPrinted>2024-12-20T10:44:00Z</cp:lastPrinted>
  <dcterms:created xsi:type="dcterms:W3CDTF">2024-12-20T10:45:00Z</dcterms:created>
  <dcterms:modified xsi:type="dcterms:W3CDTF">2025-02-24T21:49:00Z</dcterms:modified>
</cp:coreProperties>
</file>